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543" w:right="0" w:firstLine="0"/>
        <w:rPr>
          <w:rFonts w:ascii="Times New Roman"/>
          <w:sz w:val="20"/>
        </w:rPr>
      </w:pPr>
      <w:r>
        <w:rPr>
          <w:rFonts w:ascii="Times New Roman"/>
          <w:sz w:val="20"/>
        </w:rPr>
        <mc:AlternateContent>
          <mc:Choice Requires="wps">
            <w:drawing>
              <wp:anchor distT="0" distB="0" distL="0" distR="0" allowOverlap="1" layoutInCell="1" locked="0" behindDoc="0" simplePos="0" relativeHeight="15729664">
                <wp:simplePos x="0" y="0"/>
                <wp:positionH relativeFrom="page">
                  <wp:posOffset>360000</wp:posOffset>
                </wp:positionH>
                <wp:positionV relativeFrom="page">
                  <wp:posOffset>1368140</wp:posOffset>
                </wp:positionV>
                <wp:extent cx="684022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840220" cy="1270"/>
                        </a:xfrm>
                        <a:custGeom>
                          <a:avLst/>
                          <a:gdLst/>
                          <a:ahLst/>
                          <a:cxnLst/>
                          <a:rect l="l" t="t" r="r" b="b"/>
                          <a:pathLst>
                            <a:path w="6840220" h="0">
                              <a:moveTo>
                                <a:pt x="0" y="0"/>
                              </a:moveTo>
                              <a:lnTo>
                                <a:pt x="6840001" y="0"/>
                              </a:lnTo>
                            </a:path>
                          </a:pathLst>
                        </a:custGeom>
                        <a:ln w="12700">
                          <a:solidFill>
                            <a:srgbClr val="00447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9664" from="28.34646pt,107.72757pt" to="566.92922pt,107.72757pt" stroked="true" strokeweight="1pt" strokecolor="#004479">
                <v:stroke dashstyle="solid"/>
                <w10:wrap type="none"/>
              </v:line>
            </w:pict>
          </mc:Fallback>
        </mc:AlternateContent>
      </w:r>
      <w:r>
        <w:rPr>
          <w:rFonts w:ascii="Times New Roman"/>
          <w:sz w:val="20"/>
        </w:rPr>
        <w:drawing>
          <wp:inline distT="0" distB="0" distL="0" distR="0">
            <wp:extent cx="1047749" cy="436911"/>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047749" cy="436911"/>
                    </a:xfrm>
                    <a:prstGeom prst="rect">
                      <a:avLst/>
                    </a:prstGeom>
                  </pic:spPr>
                </pic:pic>
              </a:graphicData>
            </a:graphic>
          </wp:inline>
        </w:drawing>
      </w:r>
      <w:r>
        <w:rPr>
          <w:rFonts w:ascii="Times New Roman"/>
          <w:sz w:val="20"/>
        </w:rPr>
      </w:r>
    </w:p>
    <w:p>
      <w:pPr>
        <w:pStyle w:val="BodyText"/>
        <w:spacing w:before="14"/>
        <w:ind w:left="0" w:firstLine="0"/>
        <w:jc w:val="left"/>
        <w:rPr>
          <w:rFonts w:ascii="Times New Roman"/>
          <w:sz w:val="28"/>
        </w:rPr>
      </w:pPr>
    </w:p>
    <w:p>
      <w:pPr>
        <w:pStyle w:val="Title"/>
      </w:pPr>
      <w:r>
        <w:rPr>
          <w:color w:val="004479"/>
        </w:rPr>
        <w:t>LEGISLACIÓN</w:t>
      </w:r>
      <w:r>
        <w:rPr>
          <w:color w:val="004479"/>
          <w:spacing w:val="-10"/>
        </w:rPr>
        <w:t> </w:t>
      </w:r>
      <w:r>
        <w:rPr>
          <w:color w:val="004479"/>
          <w:spacing w:val="-2"/>
        </w:rPr>
        <w:t>CONSOLIDADA</w:t>
      </w:r>
    </w:p>
    <w:p>
      <w:pPr>
        <w:pStyle w:val="BodyText"/>
        <w:spacing w:before="0"/>
        <w:ind w:left="0" w:firstLine="0"/>
        <w:jc w:val="left"/>
        <w:rPr>
          <w:b/>
          <w:sz w:val="28"/>
        </w:rPr>
      </w:pPr>
    </w:p>
    <w:p>
      <w:pPr>
        <w:pStyle w:val="BodyText"/>
        <w:spacing w:before="0"/>
        <w:ind w:left="0" w:firstLine="0"/>
        <w:jc w:val="left"/>
        <w:rPr>
          <w:b/>
          <w:sz w:val="28"/>
        </w:rPr>
      </w:pPr>
    </w:p>
    <w:p>
      <w:pPr>
        <w:pStyle w:val="BodyText"/>
        <w:spacing w:before="214"/>
        <w:ind w:left="0" w:firstLine="0"/>
        <w:jc w:val="left"/>
        <w:rPr>
          <w:b/>
          <w:sz w:val="28"/>
        </w:rPr>
      </w:pPr>
    </w:p>
    <w:p>
      <w:pPr>
        <w:pStyle w:val="Heading1"/>
        <w:spacing w:before="1"/>
        <w:ind w:left="1084" w:right="1185" w:hanging="490"/>
        <w:jc w:val="left"/>
      </w:pPr>
      <w:bookmarkStart w:name="Ley 49/2002, de 23 de diciembre, de régi" w:id="1"/>
      <w:bookmarkEnd w:id="1"/>
      <w:r>
        <w:rPr/>
      </w:r>
      <w:r>
        <w:rPr>
          <w:w w:val="90"/>
        </w:rPr>
        <w:t>Ley</w:t>
      </w:r>
      <w:r>
        <w:rPr>
          <w:spacing w:val="-5"/>
          <w:w w:val="90"/>
        </w:rPr>
        <w:t> </w:t>
      </w:r>
      <w:r>
        <w:rPr>
          <w:w w:val="90"/>
        </w:rPr>
        <w:t>49/2002,</w:t>
      </w:r>
      <w:r>
        <w:rPr>
          <w:spacing w:val="-6"/>
          <w:w w:val="90"/>
        </w:rPr>
        <w:t> </w:t>
      </w:r>
      <w:r>
        <w:rPr>
          <w:w w:val="90"/>
        </w:rPr>
        <w:t>de</w:t>
      </w:r>
      <w:r>
        <w:rPr>
          <w:spacing w:val="-5"/>
          <w:w w:val="90"/>
        </w:rPr>
        <w:t> </w:t>
      </w:r>
      <w:r>
        <w:rPr>
          <w:w w:val="90"/>
        </w:rPr>
        <w:t>23</w:t>
      </w:r>
      <w:r>
        <w:rPr>
          <w:spacing w:val="-6"/>
          <w:w w:val="90"/>
        </w:rPr>
        <w:t> </w:t>
      </w:r>
      <w:r>
        <w:rPr>
          <w:w w:val="90"/>
        </w:rPr>
        <w:t>de</w:t>
      </w:r>
      <w:r>
        <w:rPr>
          <w:spacing w:val="-5"/>
          <w:w w:val="90"/>
        </w:rPr>
        <w:t> </w:t>
      </w:r>
      <w:r>
        <w:rPr>
          <w:w w:val="90"/>
        </w:rPr>
        <w:t>diciembre,</w:t>
      </w:r>
      <w:r>
        <w:rPr>
          <w:spacing w:val="-6"/>
          <w:w w:val="90"/>
        </w:rPr>
        <w:t> </w:t>
      </w:r>
      <w:r>
        <w:rPr>
          <w:w w:val="90"/>
        </w:rPr>
        <w:t>de</w:t>
      </w:r>
      <w:r>
        <w:rPr>
          <w:spacing w:val="-5"/>
          <w:w w:val="90"/>
        </w:rPr>
        <w:t> </w:t>
      </w:r>
      <w:r>
        <w:rPr>
          <w:w w:val="90"/>
        </w:rPr>
        <w:t>régimen</w:t>
      </w:r>
      <w:r>
        <w:rPr>
          <w:spacing w:val="-6"/>
          <w:w w:val="90"/>
        </w:rPr>
        <w:t> </w:t>
      </w:r>
      <w:r>
        <w:rPr>
          <w:w w:val="90"/>
        </w:rPr>
        <w:t>fiscal</w:t>
      </w:r>
      <w:r>
        <w:rPr>
          <w:spacing w:val="-5"/>
          <w:w w:val="90"/>
        </w:rPr>
        <w:t> </w:t>
      </w:r>
      <w:r>
        <w:rPr>
          <w:w w:val="90"/>
        </w:rPr>
        <w:t>de</w:t>
      </w:r>
      <w:r>
        <w:rPr>
          <w:spacing w:val="-6"/>
          <w:w w:val="90"/>
        </w:rPr>
        <w:t> </w:t>
      </w:r>
      <w:r>
        <w:rPr>
          <w:w w:val="90"/>
        </w:rPr>
        <w:t>las</w:t>
      </w:r>
      <w:r>
        <w:rPr>
          <w:spacing w:val="-5"/>
          <w:w w:val="90"/>
        </w:rPr>
        <w:t> </w:t>
      </w:r>
      <w:r>
        <w:rPr>
          <w:w w:val="90"/>
        </w:rPr>
        <w:t>entidades sin</w:t>
      </w:r>
      <w:r>
        <w:rPr>
          <w:spacing w:val="-4"/>
          <w:w w:val="90"/>
        </w:rPr>
        <w:t> </w:t>
      </w:r>
      <w:r>
        <w:rPr>
          <w:w w:val="90"/>
        </w:rPr>
        <w:t>fines</w:t>
      </w:r>
      <w:r>
        <w:rPr>
          <w:spacing w:val="-4"/>
          <w:w w:val="90"/>
        </w:rPr>
        <w:t> </w:t>
      </w:r>
      <w:r>
        <w:rPr>
          <w:w w:val="90"/>
        </w:rPr>
        <w:t>lucrativos</w:t>
      </w:r>
      <w:r>
        <w:rPr>
          <w:spacing w:val="-4"/>
          <w:w w:val="90"/>
        </w:rPr>
        <w:t> </w:t>
      </w:r>
      <w:r>
        <w:rPr>
          <w:w w:val="90"/>
        </w:rPr>
        <w:t>y</w:t>
      </w:r>
      <w:r>
        <w:rPr>
          <w:spacing w:val="-4"/>
          <w:w w:val="90"/>
        </w:rPr>
        <w:t> </w:t>
      </w:r>
      <w:r>
        <w:rPr>
          <w:w w:val="90"/>
        </w:rPr>
        <w:t>de</w:t>
      </w:r>
      <w:r>
        <w:rPr>
          <w:spacing w:val="-4"/>
          <w:w w:val="90"/>
        </w:rPr>
        <w:t> </w:t>
      </w:r>
      <w:r>
        <w:rPr>
          <w:w w:val="90"/>
        </w:rPr>
        <w:t>los</w:t>
      </w:r>
      <w:r>
        <w:rPr>
          <w:spacing w:val="-4"/>
          <w:w w:val="90"/>
        </w:rPr>
        <w:t> </w:t>
      </w:r>
      <w:r>
        <w:rPr>
          <w:w w:val="90"/>
        </w:rPr>
        <w:t>incentivos</w:t>
      </w:r>
      <w:r>
        <w:rPr>
          <w:spacing w:val="-4"/>
          <w:w w:val="90"/>
        </w:rPr>
        <w:t> </w:t>
      </w:r>
      <w:r>
        <w:rPr>
          <w:w w:val="90"/>
        </w:rPr>
        <w:t>fiscales</w:t>
      </w:r>
      <w:r>
        <w:rPr>
          <w:spacing w:val="-4"/>
          <w:w w:val="90"/>
        </w:rPr>
        <w:t> </w:t>
      </w:r>
      <w:r>
        <w:rPr>
          <w:w w:val="90"/>
        </w:rPr>
        <w:t>al</w:t>
      </w:r>
      <w:r>
        <w:rPr>
          <w:spacing w:val="-4"/>
          <w:w w:val="90"/>
        </w:rPr>
        <w:t> </w:t>
      </w:r>
      <w:r>
        <w:rPr>
          <w:w w:val="90"/>
        </w:rPr>
        <w:t>mecenazgo.</w:t>
      </w:r>
    </w:p>
    <w:p>
      <w:pPr>
        <w:pStyle w:val="BodyText"/>
        <w:spacing w:before="216"/>
        <w:ind w:left="0" w:firstLine="0"/>
        <w:jc w:val="left"/>
      </w:pPr>
      <w:r>
        <w:rPr/>
        <mc:AlternateContent>
          <mc:Choice Requires="wps">
            <w:drawing>
              <wp:anchor distT="0" distB="0" distL="0" distR="0" allowOverlap="1" layoutInCell="1" locked="0" behindDoc="1" simplePos="0" relativeHeight="487587840">
                <wp:simplePos x="0" y="0"/>
                <wp:positionH relativeFrom="page">
                  <wp:posOffset>3385800</wp:posOffset>
                </wp:positionH>
                <wp:positionV relativeFrom="paragraph">
                  <wp:posOffset>299029</wp:posOffset>
                </wp:positionV>
                <wp:extent cx="78867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788670" cy="1270"/>
                        </a:xfrm>
                        <a:custGeom>
                          <a:avLst/>
                          <a:gdLst/>
                          <a:ahLst/>
                          <a:cxnLst/>
                          <a:rect l="l" t="t" r="r" b="b"/>
                          <a:pathLst>
                            <a:path w="788670" h="0">
                              <a:moveTo>
                                <a:pt x="0" y="0"/>
                              </a:moveTo>
                              <a:lnTo>
                                <a:pt x="788400" y="0"/>
                              </a:lnTo>
                            </a:path>
                          </a:pathLst>
                        </a:custGeom>
                        <a:ln w="6350">
                          <a:solidFill>
                            <a:srgbClr val="004479"/>
                          </a:solidFill>
                          <a:prstDash val="solid"/>
                        </a:ln>
                      </wps:spPr>
                      <wps:bodyPr wrap="square" lIns="0" tIns="0" rIns="0" bIns="0" rtlCol="0">
                        <a:prstTxWarp prst="textNoShape">
                          <a:avLst/>
                        </a:prstTxWarp>
                        <a:noAutofit/>
                      </wps:bodyPr>
                    </wps:wsp>
                  </a:graphicData>
                </a:graphic>
              </wp:anchor>
            </w:drawing>
          </mc:Choice>
          <mc:Fallback>
            <w:pict>
              <v:shape style="position:absolute;margin-left:266.59845pt;margin-top:23.54566pt;width:62.1pt;height:.1pt;mso-position-horizontal-relative:page;mso-position-vertical-relative:paragraph;z-index:-15728640;mso-wrap-distance-left:0;mso-wrap-distance-right:0" id="docshape2" coordorigin="5332,471" coordsize="1242,0" path="m5332,471l6574,471e" filled="false" stroked="true" strokeweight=".5pt" strokecolor="#004479">
                <v:path arrowok="t"/>
                <v:stroke dashstyle="solid"/>
                <w10:wrap type="topAndBottom"/>
              </v:shape>
            </w:pict>
          </mc:Fallback>
        </mc:AlternateContent>
      </w:r>
    </w:p>
    <w:p>
      <w:pPr>
        <w:pStyle w:val="BodyText"/>
        <w:spacing w:before="44"/>
        <w:ind w:left="0" w:firstLine="0"/>
        <w:jc w:val="left"/>
      </w:pPr>
    </w:p>
    <w:p>
      <w:pPr>
        <w:pStyle w:val="BodyText"/>
        <w:spacing w:before="0"/>
        <w:ind w:left="1863" w:right="2713" w:firstLine="0"/>
        <w:jc w:val="center"/>
      </w:pPr>
      <w:r>
        <w:rPr>
          <w:color w:val="004479"/>
        </w:rPr>
        <w:t>Jefatura</w:t>
      </w:r>
      <w:r>
        <w:rPr>
          <w:color w:val="004479"/>
          <w:spacing w:val="-5"/>
        </w:rPr>
        <w:t> </w:t>
      </w:r>
      <w:r>
        <w:rPr>
          <w:color w:val="004479"/>
        </w:rPr>
        <w:t>del</w:t>
      </w:r>
      <w:r>
        <w:rPr>
          <w:color w:val="004479"/>
          <w:spacing w:val="-4"/>
        </w:rPr>
        <w:t> </w:t>
      </w:r>
      <w:r>
        <w:rPr>
          <w:color w:val="004479"/>
          <w:spacing w:val="-2"/>
        </w:rPr>
        <w:t>Estado</w:t>
      </w:r>
    </w:p>
    <w:p>
      <w:pPr>
        <w:pStyle w:val="BodyText"/>
        <w:spacing w:line="249" w:lineRule="auto" w:before="10"/>
        <w:ind w:left="1863" w:right="2712" w:firstLine="0"/>
        <w:jc w:val="center"/>
      </w:pPr>
      <w:r>
        <w:rPr>
          <w:color w:val="004479"/>
        </w:rPr>
        <w:t>«BOE»</w:t>
      </w:r>
      <w:r>
        <w:rPr>
          <w:color w:val="004479"/>
          <w:spacing w:val="-5"/>
        </w:rPr>
        <w:t> </w:t>
      </w:r>
      <w:r>
        <w:rPr>
          <w:color w:val="004479"/>
        </w:rPr>
        <w:t>núm.</w:t>
      </w:r>
      <w:r>
        <w:rPr>
          <w:color w:val="004479"/>
          <w:spacing w:val="-5"/>
        </w:rPr>
        <w:t> </w:t>
      </w:r>
      <w:r>
        <w:rPr>
          <w:color w:val="004479"/>
        </w:rPr>
        <w:t>307,</w:t>
      </w:r>
      <w:r>
        <w:rPr>
          <w:color w:val="004479"/>
          <w:spacing w:val="-5"/>
        </w:rPr>
        <w:t> </w:t>
      </w:r>
      <w:r>
        <w:rPr>
          <w:color w:val="004479"/>
        </w:rPr>
        <w:t>de</w:t>
      </w:r>
      <w:r>
        <w:rPr>
          <w:color w:val="004479"/>
          <w:spacing w:val="-5"/>
        </w:rPr>
        <w:t> </w:t>
      </w:r>
      <w:r>
        <w:rPr>
          <w:color w:val="004479"/>
        </w:rPr>
        <w:t>24</w:t>
      </w:r>
      <w:r>
        <w:rPr>
          <w:color w:val="004479"/>
          <w:spacing w:val="-5"/>
        </w:rPr>
        <w:t> </w:t>
      </w:r>
      <w:r>
        <w:rPr>
          <w:color w:val="004479"/>
        </w:rPr>
        <w:t>de</w:t>
      </w:r>
      <w:r>
        <w:rPr>
          <w:color w:val="004479"/>
          <w:spacing w:val="-5"/>
        </w:rPr>
        <w:t> </w:t>
      </w:r>
      <w:r>
        <w:rPr>
          <w:color w:val="004479"/>
        </w:rPr>
        <w:t>diciembre</w:t>
      </w:r>
      <w:r>
        <w:rPr>
          <w:color w:val="004479"/>
          <w:spacing w:val="-5"/>
        </w:rPr>
        <w:t> </w:t>
      </w:r>
      <w:r>
        <w:rPr>
          <w:color w:val="004479"/>
        </w:rPr>
        <w:t>de</w:t>
      </w:r>
      <w:r>
        <w:rPr>
          <w:color w:val="004479"/>
          <w:spacing w:val="-5"/>
        </w:rPr>
        <w:t> </w:t>
      </w:r>
      <w:r>
        <w:rPr>
          <w:color w:val="004479"/>
        </w:rPr>
        <w:t>2002 Referencia: BOE-A-2002-25039</w:t>
      </w:r>
    </w:p>
    <w:p>
      <w:pPr>
        <w:pStyle w:val="BodyText"/>
        <w:spacing w:before="48"/>
        <w:ind w:left="0" w:firstLine="0"/>
        <w:jc w:val="left"/>
      </w:pPr>
      <w:r>
        <w:rPr/>
        <mc:AlternateContent>
          <mc:Choice Requires="wps">
            <w:drawing>
              <wp:anchor distT="0" distB="0" distL="0" distR="0" allowOverlap="1" layoutInCell="1" locked="0" behindDoc="1" simplePos="0" relativeHeight="487588352">
                <wp:simplePos x="0" y="0"/>
                <wp:positionH relativeFrom="page">
                  <wp:posOffset>3385800</wp:posOffset>
                </wp:positionH>
                <wp:positionV relativeFrom="paragraph">
                  <wp:posOffset>192301</wp:posOffset>
                </wp:positionV>
                <wp:extent cx="78867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788670" cy="1270"/>
                        </a:xfrm>
                        <a:custGeom>
                          <a:avLst/>
                          <a:gdLst/>
                          <a:ahLst/>
                          <a:cxnLst/>
                          <a:rect l="l" t="t" r="r" b="b"/>
                          <a:pathLst>
                            <a:path w="788670" h="0">
                              <a:moveTo>
                                <a:pt x="0" y="0"/>
                              </a:moveTo>
                              <a:lnTo>
                                <a:pt x="788400" y="0"/>
                              </a:lnTo>
                            </a:path>
                          </a:pathLst>
                        </a:custGeom>
                        <a:ln w="6350">
                          <a:solidFill>
                            <a:srgbClr val="004479"/>
                          </a:solidFill>
                          <a:prstDash val="solid"/>
                        </a:ln>
                      </wps:spPr>
                      <wps:bodyPr wrap="square" lIns="0" tIns="0" rIns="0" bIns="0" rtlCol="0">
                        <a:prstTxWarp prst="textNoShape">
                          <a:avLst/>
                        </a:prstTxWarp>
                        <a:noAutofit/>
                      </wps:bodyPr>
                    </wps:wsp>
                  </a:graphicData>
                </a:graphic>
              </wp:anchor>
            </w:drawing>
          </mc:Choice>
          <mc:Fallback>
            <w:pict>
              <v:shape style="position:absolute;margin-left:266.59845pt;margin-top:15.141874pt;width:62.1pt;height:.1pt;mso-position-horizontal-relative:page;mso-position-vertical-relative:paragraph;z-index:-15728128;mso-wrap-distance-left:0;mso-wrap-distance-right:0" id="docshape3" coordorigin="5332,303" coordsize="1242,0" path="m5332,303l6574,303e" filled="false" stroked="true" strokeweight=".5pt" strokecolor="#004479">
                <v:path arrowok="t"/>
                <v:stroke dashstyle="solid"/>
                <w10:wrap type="topAndBottom"/>
              </v:shape>
            </w:pict>
          </mc:Fallback>
        </mc:AlternateContent>
      </w:r>
    </w:p>
    <w:p>
      <w:pPr>
        <w:pStyle w:val="BodyText"/>
        <w:spacing w:before="191"/>
        <w:ind w:left="0" w:firstLine="0"/>
        <w:jc w:val="left"/>
        <w:rPr>
          <w:sz w:val="28"/>
        </w:rPr>
      </w:pPr>
    </w:p>
    <w:p>
      <w:pPr>
        <w:pStyle w:val="Heading1"/>
        <w:ind w:left="1863" w:right="2713"/>
      </w:pPr>
      <w:r>
        <w:rPr>
          <w:color w:val="004479"/>
          <w:spacing w:val="-2"/>
        </w:rPr>
        <w:t>ÍNDICE</w:t>
      </w:r>
    </w:p>
    <w:p>
      <w:pPr>
        <w:pStyle w:val="BodyText"/>
        <w:spacing w:before="0"/>
        <w:ind w:left="0" w:firstLine="0"/>
        <w:jc w:val="left"/>
      </w:pPr>
    </w:p>
    <w:p>
      <w:pPr>
        <w:pStyle w:val="BodyText"/>
        <w:spacing w:before="0"/>
        <w:ind w:left="0" w:firstLine="0"/>
        <w:jc w:val="left"/>
      </w:pPr>
    </w:p>
    <w:p>
      <w:pPr>
        <w:pStyle w:val="BodyText"/>
        <w:spacing w:before="0"/>
        <w:ind w:left="0" w:firstLine="0"/>
        <w:jc w:val="left"/>
      </w:pPr>
    </w:p>
    <w:p>
      <w:pPr>
        <w:pStyle w:val="BodyText"/>
        <w:spacing w:before="86"/>
        <w:ind w:left="0" w:firstLine="0"/>
        <w:jc w:val="left"/>
      </w:pPr>
    </w:p>
    <w:tbl>
      <w:tblPr>
        <w:tblW w:w="0" w:type="auto"/>
        <w:jc w:val="left"/>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17"/>
        <w:gridCol w:w="394"/>
      </w:tblGrid>
      <w:tr>
        <w:trPr>
          <w:trHeight w:val="337" w:hRule="atLeast"/>
        </w:trPr>
        <w:tc>
          <w:tcPr>
            <w:tcW w:w="9117" w:type="dxa"/>
          </w:tcPr>
          <w:p>
            <w:pPr>
              <w:pStyle w:val="TableParagraph"/>
              <w:spacing w:line="194" w:lineRule="exact" w:before="0"/>
              <w:ind w:right="147"/>
              <w:rPr>
                <w:i/>
                <w:sz w:val="17"/>
              </w:rPr>
            </w:pPr>
            <w:hyperlink w:history="true" w:anchor="_bookmark0">
              <w:r>
                <w:rPr>
                  <w:i/>
                  <w:sz w:val="17"/>
                </w:rPr>
                <w:t>Preámbulo</w:t>
              </w:r>
              <w:r>
                <w:rPr>
                  <w:i/>
                  <w:spacing w:val="3"/>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1"/>
                  <w:sz w:val="17"/>
                </w:rPr>
                <w:t> </w:t>
              </w:r>
              <w:r>
                <w:rPr>
                  <w:i/>
                  <w:spacing w:val="-10"/>
                  <w:sz w:val="17"/>
                </w:rPr>
                <w:t>.</w:t>
              </w:r>
              <w:r>
                <w:rPr>
                  <w:i/>
                  <w:sz w:val="17"/>
                </w:rPr>
                <w:t> </w:t>
              </w:r>
            </w:hyperlink>
          </w:p>
        </w:tc>
        <w:tc>
          <w:tcPr>
            <w:tcW w:w="394" w:type="dxa"/>
          </w:tcPr>
          <w:p>
            <w:pPr>
              <w:pStyle w:val="TableParagraph"/>
              <w:spacing w:line="194" w:lineRule="exact" w:before="0"/>
              <w:ind w:right="48"/>
              <w:rPr>
                <w:sz w:val="17"/>
              </w:rPr>
            </w:pPr>
            <w:hyperlink w:history="true" w:anchor="_bookmark0">
              <w:r>
                <w:rPr>
                  <w:spacing w:val="-10"/>
                  <w:sz w:val="17"/>
                </w:rPr>
                <w:t>4</w:t>
              </w:r>
            </w:hyperlink>
          </w:p>
        </w:tc>
      </w:tr>
      <w:tr>
        <w:trPr>
          <w:trHeight w:val="462" w:hRule="atLeast"/>
        </w:trPr>
        <w:tc>
          <w:tcPr>
            <w:tcW w:w="9117" w:type="dxa"/>
          </w:tcPr>
          <w:p>
            <w:pPr>
              <w:pStyle w:val="TableParagraph"/>
              <w:spacing w:before="141"/>
              <w:ind w:right="148"/>
              <w:rPr>
                <w:sz w:val="17"/>
              </w:rPr>
            </w:pPr>
            <w:hyperlink w:history="true" w:anchor="_bookmark1">
              <w:r>
                <w:rPr>
                  <w:sz w:val="17"/>
                </w:rPr>
                <w:t>TÍTULO</w:t>
              </w:r>
              <w:r>
                <w:rPr>
                  <w:spacing w:val="2"/>
                  <w:sz w:val="17"/>
                </w:rPr>
                <w:t> </w:t>
              </w:r>
              <w:r>
                <w:rPr>
                  <w:sz w:val="17"/>
                </w:rPr>
                <w:t>I.</w:t>
              </w:r>
              <w:r>
                <w:rPr>
                  <w:spacing w:val="3"/>
                  <w:sz w:val="17"/>
                </w:rPr>
                <w:t> </w:t>
              </w:r>
              <w:r>
                <w:rPr>
                  <w:sz w:val="17"/>
                </w:rPr>
                <w:t>Objeto</w:t>
              </w:r>
              <w:r>
                <w:rPr>
                  <w:spacing w:val="2"/>
                  <w:sz w:val="17"/>
                </w:rPr>
                <w:t> </w:t>
              </w:r>
              <w:r>
                <w:rPr>
                  <w:sz w:val="17"/>
                </w:rPr>
                <w:t>y</w:t>
              </w:r>
              <w:r>
                <w:rPr>
                  <w:spacing w:val="2"/>
                  <w:sz w:val="17"/>
                </w:rPr>
                <w:t> </w:t>
              </w:r>
              <w:r>
                <w:rPr>
                  <w:sz w:val="17"/>
                </w:rPr>
                <w:t>ámbito</w:t>
              </w:r>
              <w:r>
                <w:rPr>
                  <w:spacing w:val="3"/>
                  <w:sz w:val="17"/>
                </w:rPr>
                <w:t> </w:t>
              </w:r>
              <w:r>
                <w:rPr>
                  <w:sz w:val="17"/>
                </w:rPr>
                <w:t>de</w:t>
              </w:r>
              <w:r>
                <w:rPr>
                  <w:spacing w:val="2"/>
                  <w:sz w:val="17"/>
                </w:rPr>
                <w:t> </w:t>
              </w:r>
              <w:r>
                <w:rPr>
                  <w:sz w:val="17"/>
                </w:rPr>
                <w:t>aplicación</w:t>
              </w:r>
              <w:r>
                <w:rPr>
                  <w:spacing w:val="-3"/>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46"/>
              <w:ind w:right="48"/>
              <w:rPr>
                <w:sz w:val="17"/>
              </w:rPr>
            </w:pPr>
            <w:hyperlink w:history="true" w:anchor="_bookmark1">
              <w:r>
                <w:rPr>
                  <w:spacing w:val="-10"/>
                  <w:sz w:val="17"/>
                </w:rPr>
                <w:t>9</w:t>
              </w:r>
            </w:hyperlink>
          </w:p>
        </w:tc>
      </w:tr>
      <w:tr>
        <w:trPr>
          <w:trHeight w:val="440" w:hRule="atLeast"/>
        </w:trPr>
        <w:tc>
          <w:tcPr>
            <w:tcW w:w="9117" w:type="dxa"/>
          </w:tcPr>
          <w:p>
            <w:pPr>
              <w:pStyle w:val="TableParagraph"/>
              <w:ind w:right="148"/>
              <w:rPr>
                <w:sz w:val="17"/>
              </w:rPr>
            </w:pPr>
            <w:hyperlink w:history="true" w:anchor="_bookmark2">
              <w:r>
                <w:rPr>
                  <w:sz w:val="17"/>
                </w:rPr>
                <w:t>Artículo</w:t>
              </w:r>
              <w:r>
                <w:rPr>
                  <w:spacing w:val="3"/>
                  <w:sz w:val="17"/>
                </w:rPr>
                <w:t> </w:t>
              </w:r>
              <w:r>
                <w:rPr>
                  <w:sz w:val="17"/>
                </w:rPr>
                <w:t>1.</w:t>
              </w:r>
              <w:r>
                <w:rPr>
                  <w:spacing w:val="4"/>
                  <w:sz w:val="17"/>
                </w:rPr>
                <w:t> </w:t>
              </w:r>
              <w:r>
                <w:rPr>
                  <w:sz w:val="17"/>
                </w:rPr>
                <w:t>Objeto</w:t>
              </w:r>
              <w:r>
                <w:rPr>
                  <w:spacing w:val="3"/>
                  <w:sz w:val="17"/>
                </w:rPr>
                <w:t> </w:t>
              </w:r>
              <w:r>
                <w:rPr>
                  <w:sz w:val="17"/>
                </w:rPr>
                <w:t>y</w:t>
              </w:r>
              <w:r>
                <w:rPr>
                  <w:spacing w:val="4"/>
                  <w:sz w:val="17"/>
                </w:rPr>
                <w:t> </w:t>
              </w:r>
              <w:r>
                <w:rPr>
                  <w:sz w:val="17"/>
                </w:rPr>
                <w:t>ámbito</w:t>
              </w:r>
              <w:r>
                <w:rPr>
                  <w:spacing w:val="3"/>
                  <w:sz w:val="17"/>
                </w:rPr>
                <w:t> </w:t>
              </w:r>
              <w:r>
                <w:rPr>
                  <w:sz w:val="17"/>
                </w:rPr>
                <w:t>de</w:t>
              </w:r>
              <w:r>
                <w:rPr>
                  <w:spacing w:val="4"/>
                  <w:sz w:val="17"/>
                </w:rPr>
                <w:t> </w:t>
              </w:r>
              <w:r>
                <w:rPr>
                  <w:sz w:val="17"/>
                </w:rPr>
                <w:t>aplicación..</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2">
              <w:r>
                <w:rPr>
                  <w:spacing w:val="-10"/>
                  <w:sz w:val="17"/>
                </w:rPr>
                <w:t>9</w:t>
              </w:r>
            </w:hyperlink>
          </w:p>
        </w:tc>
      </w:tr>
      <w:tr>
        <w:trPr>
          <w:trHeight w:val="440" w:hRule="atLeast"/>
        </w:trPr>
        <w:tc>
          <w:tcPr>
            <w:tcW w:w="9117" w:type="dxa"/>
          </w:tcPr>
          <w:p>
            <w:pPr>
              <w:pStyle w:val="TableParagraph"/>
              <w:ind w:right="148"/>
              <w:rPr>
                <w:sz w:val="17"/>
              </w:rPr>
            </w:pPr>
            <w:hyperlink w:history="true" w:anchor="_bookmark3">
              <w:r>
                <w:rPr>
                  <w:sz w:val="17"/>
                </w:rPr>
                <w:t>TÍTULO</w:t>
              </w:r>
              <w:r>
                <w:rPr>
                  <w:spacing w:val="3"/>
                  <w:sz w:val="17"/>
                </w:rPr>
                <w:t> </w:t>
              </w:r>
              <w:r>
                <w:rPr>
                  <w:sz w:val="17"/>
                </w:rPr>
                <w:t>II.</w:t>
              </w:r>
              <w:r>
                <w:rPr>
                  <w:spacing w:val="4"/>
                  <w:sz w:val="17"/>
                </w:rPr>
                <w:t> </w:t>
              </w:r>
              <w:r>
                <w:rPr>
                  <w:sz w:val="17"/>
                </w:rPr>
                <w:t>Régimen</w:t>
              </w:r>
              <w:r>
                <w:rPr>
                  <w:spacing w:val="4"/>
                  <w:sz w:val="17"/>
                </w:rPr>
                <w:t> </w:t>
              </w:r>
              <w:r>
                <w:rPr>
                  <w:sz w:val="17"/>
                </w:rPr>
                <w:t>fiscal</w:t>
              </w:r>
              <w:r>
                <w:rPr>
                  <w:spacing w:val="3"/>
                  <w:sz w:val="17"/>
                </w:rPr>
                <w:t> </w:t>
              </w:r>
              <w:r>
                <w:rPr>
                  <w:sz w:val="17"/>
                </w:rPr>
                <w:t>especial</w:t>
              </w:r>
              <w:r>
                <w:rPr>
                  <w:spacing w:val="4"/>
                  <w:sz w:val="17"/>
                </w:rPr>
                <w:t> </w:t>
              </w:r>
              <w:r>
                <w:rPr>
                  <w:sz w:val="17"/>
                </w:rPr>
                <w:t>de</w:t>
              </w:r>
              <w:r>
                <w:rPr>
                  <w:spacing w:val="4"/>
                  <w:sz w:val="17"/>
                </w:rPr>
                <w:t> </w:t>
              </w:r>
              <w:r>
                <w:rPr>
                  <w:sz w:val="17"/>
                </w:rPr>
                <w:t>las</w:t>
              </w:r>
              <w:r>
                <w:rPr>
                  <w:spacing w:val="4"/>
                  <w:sz w:val="17"/>
                </w:rPr>
                <w:t> </w:t>
              </w:r>
              <w:r>
                <w:rPr>
                  <w:sz w:val="17"/>
                </w:rPr>
                <w:t>entidades</w:t>
              </w:r>
              <w:r>
                <w:rPr>
                  <w:spacing w:val="3"/>
                  <w:sz w:val="17"/>
                </w:rPr>
                <w:t> </w:t>
              </w:r>
              <w:r>
                <w:rPr>
                  <w:sz w:val="17"/>
                </w:rPr>
                <w:t>sin</w:t>
              </w:r>
              <w:r>
                <w:rPr>
                  <w:spacing w:val="4"/>
                  <w:sz w:val="17"/>
                </w:rPr>
                <w:t> </w:t>
              </w:r>
              <w:r>
                <w:rPr>
                  <w:sz w:val="17"/>
                </w:rPr>
                <w:t>fines</w:t>
              </w:r>
              <w:r>
                <w:rPr>
                  <w:spacing w:val="4"/>
                  <w:sz w:val="17"/>
                </w:rPr>
                <w:t> </w:t>
              </w:r>
              <w:r>
                <w:rPr>
                  <w:sz w:val="17"/>
                </w:rPr>
                <w:t>lucrativos</w:t>
              </w:r>
              <w:r>
                <w:rPr>
                  <w:spacing w:val="6"/>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3">
              <w:r>
                <w:rPr>
                  <w:spacing w:val="-10"/>
                  <w:sz w:val="17"/>
                </w:rPr>
                <w:t>9</w:t>
              </w:r>
            </w:hyperlink>
          </w:p>
        </w:tc>
      </w:tr>
      <w:tr>
        <w:trPr>
          <w:trHeight w:val="440" w:hRule="atLeast"/>
        </w:trPr>
        <w:tc>
          <w:tcPr>
            <w:tcW w:w="9117" w:type="dxa"/>
          </w:tcPr>
          <w:p>
            <w:pPr>
              <w:pStyle w:val="TableParagraph"/>
              <w:ind w:right="148"/>
              <w:rPr>
                <w:sz w:val="17"/>
              </w:rPr>
            </w:pPr>
            <w:hyperlink w:history="true" w:anchor="_bookmark4">
              <w:r>
                <w:rPr>
                  <w:sz w:val="17"/>
                </w:rPr>
                <w:t>CAPÍTULO</w:t>
              </w:r>
              <w:r>
                <w:rPr>
                  <w:spacing w:val="2"/>
                  <w:sz w:val="17"/>
                </w:rPr>
                <w:t> </w:t>
              </w:r>
              <w:r>
                <w:rPr>
                  <w:sz w:val="17"/>
                </w:rPr>
                <w:t>I.</w:t>
              </w:r>
              <w:r>
                <w:rPr>
                  <w:spacing w:val="3"/>
                  <w:sz w:val="17"/>
                </w:rPr>
                <w:t> </w:t>
              </w:r>
              <w:r>
                <w:rPr>
                  <w:sz w:val="17"/>
                </w:rPr>
                <w:t>Normas</w:t>
              </w:r>
              <w:r>
                <w:rPr>
                  <w:spacing w:val="3"/>
                  <w:sz w:val="17"/>
                </w:rPr>
                <w:t> </w:t>
              </w:r>
              <w:r>
                <w:rPr>
                  <w:sz w:val="17"/>
                </w:rPr>
                <w:t>generales</w:t>
              </w:r>
              <w:r>
                <w:rPr>
                  <w:spacing w:val="5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4">
              <w:r>
                <w:rPr>
                  <w:spacing w:val="-10"/>
                  <w:sz w:val="17"/>
                </w:rPr>
                <w:t>9</w:t>
              </w:r>
            </w:hyperlink>
          </w:p>
        </w:tc>
      </w:tr>
      <w:tr>
        <w:trPr>
          <w:trHeight w:val="440" w:hRule="atLeast"/>
        </w:trPr>
        <w:tc>
          <w:tcPr>
            <w:tcW w:w="9117" w:type="dxa"/>
          </w:tcPr>
          <w:p>
            <w:pPr>
              <w:pStyle w:val="TableParagraph"/>
              <w:ind w:right="148"/>
              <w:rPr>
                <w:sz w:val="17"/>
              </w:rPr>
            </w:pPr>
            <w:hyperlink w:history="true" w:anchor="_bookmark5">
              <w:r>
                <w:rPr>
                  <w:sz w:val="17"/>
                </w:rPr>
                <w:t>Artículo</w:t>
              </w:r>
              <w:r>
                <w:rPr>
                  <w:spacing w:val="2"/>
                  <w:sz w:val="17"/>
                </w:rPr>
                <w:t> </w:t>
              </w:r>
              <w:r>
                <w:rPr>
                  <w:sz w:val="17"/>
                </w:rPr>
                <w:t>2.</w:t>
              </w:r>
              <w:r>
                <w:rPr>
                  <w:spacing w:val="3"/>
                  <w:sz w:val="17"/>
                </w:rPr>
                <w:t> </w:t>
              </w:r>
              <w:r>
                <w:rPr>
                  <w:sz w:val="17"/>
                </w:rPr>
                <w:t>Entidades</w:t>
              </w:r>
              <w:r>
                <w:rPr>
                  <w:spacing w:val="3"/>
                  <w:sz w:val="17"/>
                </w:rPr>
                <w:t> </w:t>
              </w:r>
              <w:r>
                <w:rPr>
                  <w:sz w:val="17"/>
                </w:rPr>
                <w:t>sin</w:t>
              </w:r>
              <w:r>
                <w:rPr>
                  <w:spacing w:val="3"/>
                  <w:sz w:val="17"/>
                </w:rPr>
                <w:t> </w:t>
              </w:r>
              <w:r>
                <w:rPr>
                  <w:sz w:val="17"/>
                </w:rPr>
                <w:t>fines</w:t>
              </w:r>
              <w:r>
                <w:rPr>
                  <w:spacing w:val="3"/>
                  <w:sz w:val="17"/>
                </w:rPr>
                <w:t> </w:t>
              </w:r>
              <w:r>
                <w:rPr>
                  <w:sz w:val="17"/>
                </w:rPr>
                <w:t>lucrativos.</w:t>
              </w:r>
              <w:r>
                <w:rPr>
                  <w:spacing w:val="8"/>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5">
              <w:r>
                <w:rPr>
                  <w:spacing w:val="-10"/>
                  <w:sz w:val="17"/>
                </w:rPr>
                <w:t>9</w:t>
              </w:r>
            </w:hyperlink>
          </w:p>
        </w:tc>
      </w:tr>
      <w:tr>
        <w:trPr>
          <w:trHeight w:val="440" w:hRule="atLeast"/>
        </w:trPr>
        <w:tc>
          <w:tcPr>
            <w:tcW w:w="9117" w:type="dxa"/>
          </w:tcPr>
          <w:p>
            <w:pPr>
              <w:pStyle w:val="TableParagraph"/>
              <w:ind w:right="148"/>
              <w:rPr>
                <w:sz w:val="17"/>
              </w:rPr>
            </w:pPr>
            <w:hyperlink w:history="true" w:anchor="_bookmark6">
              <w:r>
                <w:rPr>
                  <w:sz w:val="17"/>
                </w:rPr>
                <w:t>Artículo</w:t>
              </w:r>
              <w:r>
                <w:rPr>
                  <w:spacing w:val="4"/>
                  <w:sz w:val="17"/>
                </w:rPr>
                <w:t> </w:t>
              </w:r>
              <w:r>
                <w:rPr>
                  <w:sz w:val="17"/>
                </w:rPr>
                <w:t>3.</w:t>
              </w:r>
              <w:r>
                <w:rPr>
                  <w:spacing w:val="5"/>
                  <w:sz w:val="17"/>
                </w:rPr>
                <w:t> </w:t>
              </w:r>
              <w:r>
                <w:rPr>
                  <w:sz w:val="17"/>
                </w:rPr>
                <w:t>Requisitos</w:t>
              </w:r>
              <w:r>
                <w:rPr>
                  <w:spacing w:val="4"/>
                  <w:sz w:val="17"/>
                </w:rPr>
                <w:t> </w:t>
              </w:r>
              <w:r>
                <w:rPr>
                  <w:sz w:val="17"/>
                </w:rPr>
                <w:t>de</w:t>
              </w:r>
              <w:r>
                <w:rPr>
                  <w:spacing w:val="5"/>
                  <w:sz w:val="17"/>
                </w:rPr>
                <w:t> </w:t>
              </w:r>
              <w:r>
                <w:rPr>
                  <w:sz w:val="17"/>
                </w:rPr>
                <w:t>las</w:t>
              </w:r>
              <w:r>
                <w:rPr>
                  <w:spacing w:val="5"/>
                  <w:sz w:val="17"/>
                </w:rPr>
                <w:t> </w:t>
              </w:r>
              <w:r>
                <w:rPr>
                  <w:sz w:val="17"/>
                </w:rPr>
                <w:t>entidades</w:t>
              </w:r>
              <w:r>
                <w:rPr>
                  <w:spacing w:val="4"/>
                  <w:sz w:val="17"/>
                </w:rPr>
                <w:t> </w:t>
              </w:r>
              <w:r>
                <w:rPr>
                  <w:sz w:val="17"/>
                </w:rPr>
                <w:t>sin</w:t>
              </w:r>
              <w:r>
                <w:rPr>
                  <w:spacing w:val="5"/>
                  <w:sz w:val="17"/>
                </w:rPr>
                <w:t> </w:t>
              </w:r>
              <w:r>
                <w:rPr>
                  <w:sz w:val="17"/>
                </w:rPr>
                <w:t>fines</w:t>
              </w:r>
              <w:r>
                <w:rPr>
                  <w:spacing w:val="5"/>
                  <w:sz w:val="17"/>
                </w:rPr>
                <w:t> </w:t>
              </w:r>
              <w:r>
                <w:rPr>
                  <w:sz w:val="17"/>
                </w:rPr>
                <w:t>lucrativos..</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6">
              <w:r>
                <w:rPr>
                  <w:spacing w:val="-5"/>
                  <w:sz w:val="17"/>
                </w:rPr>
                <w:t>10</w:t>
              </w:r>
            </w:hyperlink>
          </w:p>
        </w:tc>
      </w:tr>
      <w:tr>
        <w:trPr>
          <w:trHeight w:val="440" w:hRule="atLeast"/>
        </w:trPr>
        <w:tc>
          <w:tcPr>
            <w:tcW w:w="9117" w:type="dxa"/>
          </w:tcPr>
          <w:p>
            <w:pPr>
              <w:pStyle w:val="TableParagraph"/>
              <w:ind w:right="148"/>
              <w:rPr>
                <w:sz w:val="17"/>
              </w:rPr>
            </w:pPr>
            <w:hyperlink w:history="true" w:anchor="_bookmark7">
              <w:r>
                <w:rPr>
                  <w:sz w:val="17"/>
                </w:rPr>
                <w:t>Artículo</w:t>
              </w:r>
              <w:r>
                <w:rPr>
                  <w:spacing w:val="2"/>
                  <w:sz w:val="17"/>
                </w:rPr>
                <w:t> </w:t>
              </w:r>
              <w:r>
                <w:rPr>
                  <w:sz w:val="17"/>
                </w:rPr>
                <w:t>4.</w:t>
              </w:r>
              <w:r>
                <w:rPr>
                  <w:spacing w:val="2"/>
                  <w:sz w:val="17"/>
                </w:rPr>
                <w:t> </w:t>
              </w:r>
              <w:r>
                <w:rPr>
                  <w:sz w:val="17"/>
                </w:rPr>
                <w:t>Domicilio</w:t>
              </w:r>
              <w:r>
                <w:rPr>
                  <w:spacing w:val="2"/>
                  <w:sz w:val="17"/>
                </w:rPr>
                <w:t> </w:t>
              </w:r>
              <w:r>
                <w:rPr>
                  <w:sz w:val="17"/>
                </w:rPr>
                <w:t>fiscal.</w:t>
              </w:r>
              <w:r>
                <w:rPr>
                  <w:spacing w:val="28"/>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7">
              <w:r>
                <w:rPr>
                  <w:spacing w:val="-5"/>
                  <w:sz w:val="17"/>
                </w:rPr>
                <w:t>12</w:t>
              </w:r>
            </w:hyperlink>
          </w:p>
        </w:tc>
      </w:tr>
      <w:tr>
        <w:trPr>
          <w:trHeight w:val="440" w:hRule="atLeast"/>
        </w:trPr>
        <w:tc>
          <w:tcPr>
            <w:tcW w:w="9117" w:type="dxa"/>
          </w:tcPr>
          <w:p>
            <w:pPr>
              <w:pStyle w:val="TableParagraph"/>
              <w:ind w:right="149"/>
              <w:rPr>
                <w:sz w:val="17"/>
              </w:rPr>
            </w:pPr>
            <w:hyperlink w:history="true" w:anchor="_bookmark8">
              <w:r>
                <w:rPr>
                  <w:sz w:val="17"/>
                </w:rPr>
                <w:t>CAPÍTULO</w:t>
              </w:r>
              <w:r>
                <w:rPr>
                  <w:spacing w:val="2"/>
                  <w:sz w:val="17"/>
                </w:rPr>
                <w:t> </w:t>
              </w:r>
              <w:r>
                <w:rPr>
                  <w:sz w:val="17"/>
                </w:rPr>
                <w:t>II.</w:t>
              </w:r>
              <w:r>
                <w:rPr>
                  <w:spacing w:val="5"/>
                  <w:sz w:val="17"/>
                </w:rPr>
                <w:t> </w:t>
              </w:r>
              <w:r>
                <w:rPr>
                  <w:sz w:val="17"/>
                </w:rPr>
                <w:t>Impuesto</w:t>
              </w:r>
              <w:r>
                <w:rPr>
                  <w:spacing w:val="5"/>
                  <w:sz w:val="17"/>
                </w:rPr>
                <w:t> </w:t>
              </w:r>
              <w:r>
                <w:rPr>
                  <w:sz w:val="17"/>
                </w:rPr>
                <w:t>sobre</w:t>
              </w:r>
              <w:r>
                <w:rPr>
                  <w:spacing w:val="4"/>
                  <w:sz w:val="17"/>
                </w:rPr>
                <w:t> </w:t>
              </w:r>
              <w:r>
                <w:rPr>
                  <w:sz w:val="17"/>
                </w:rPr>
                <w:t>Sociedades</w:t>
              </w:r>
              <w:r>
                <w:rPr>
                  <w:spacing w:val="5"/>
                  <w:sz w:val="17"/>
                </w:rPr>
                <w:t> </w:t>
              </w:r>
              <w:r>
                <w:rPr>
                  <w:sz w:val="17"/>
                </w:rPr>
                <w:t>e</w:t>
              </w:r>
              <w:r>
                <w:rPr>
                  <w:spacing w:val="5"/>
                  <w:sz w:val="17"/>
                </w:rPr>
                <w:t> </w:t>
              </w:r>
              <w:r>
                <w:rPr>
                  <w:sz w:val="17"/>
                </w:rPr>
                <w:t>Impuesto</w:t>
              </w:r>
              <w:r>
                <w:rPr>
                  <w:spacing w:val="5"/>
                  <w:sz w:val="17"/>
                </w:rPr>
                <w:t> </w:t>
              </w:r>
              <w:r>
                <w:rPr>
                  <w:sz w:val="17"/>
                </w:rPr>
                <w:t>sobre</w:t>
              </w:r>
              <w:r>
                <w:rPr>
                  <w:spacing w:val="4"/>
                  <w:sz w:val="17"/>
                </w:rPr>
                <w:t> </w:t>
              </w:r>
              <w:r>
                <w:rPr>
                  <w:sz w:val="17"/>
                </w:rPr>
                <w:t>la</w:t>
              </w:r>
              <w:r>
                <w:rPr>
                  <w:spacing w:val="5"/>
                  <w:sz w:val="17"/>
                </w:rPr>
                <w:t> </w:t>
              </w:r>
              <w:r>
                <w:rPr>
                  <w:sz w:val="17"/>
                </w:rPr>
                <w:t>Renta</w:t>
              </w:r>
              <w:r>
                <w:rPr>
                  <w:spacing w:val="5"/>
                  <w:sz w:val="17"/>
                </w:rPr>
                <w:t> </w:t>
              </w:r>
              <w:r>
                <w:rPr>
                  <w:sz w:val="17"/>
                </w:rPr>
                <w:t>de</w:t>
              </w:r>
              <w:r>
                <w:rPr>
                  <w:spacing w:val="5"/>
                  <w:sz w:val="17"/>
                </w:rPr>
                <w:t> </w:t>
              </w:r>
              <w:r>
                <w:rPr>
                  <w:sz w:val="17"/>
                </w:rPr>
                <w:t>no</w:t>
              </w:r>
              <w:r>
                <w:rPr>
                  <w:spacing w:val="4"/>
                  <w:sz w:val="17"/>
                </w:rPr>
                <w:t> </w:t>
              </w:r>
              <w:r>
                <w:rPr>
                  <w:sz w:val="17"/>
                </w:rPr>
                <w:t>Residentes</w:t>
              </w:r>
              <w:r>
                <w:rPr>
                  <w:spacing w:val="77"/>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8">
              <w:r>
                <w:rPr>
                  <w:spacing w:val="-5"/>
                  <w:sz w:val="17"/>
                </w:rPr>
                <w:t>12</w:t>
              </w:r>
            </w:hyperlink>
          </w:p>
        </w:tc>
      </w:tr>
      <w:tr>
        <w:trPr>
          <w:trHeight w:val="440" w:hRule="atLeast"/>
        </w:trPr>
        <w:tc>
          <w:tcPr>
            <w:tcW w:w="9117" w:type="dxa"/>
          </w:tcPr>
          <w:p>
            <w:pPr>
              <w:pStyle w:val="TableParagraph"/>
              <w:ind w:right="148"/>
              <w:rPr>
                <w:sz w:val="17"/>
              </w:rPr>
            </w:pPr>
            <w:hyperlink w:history="true" w:anchor="_bookmark9">
              <w:r>
                <w:rPr>
                  <w:sz w:val="17"/>
                </w:rPr>
                <w:t>Artículo</w:t>
              </w:r>
              <w:r>
                <w:rPr>
                  <w:spacing w:val="2"/>
                  <w:sz w:val="17"/>
                </w:rPr>
                <w:t> </w:t>
              </w:r>
              <w:r>
                <w:rPr>
                  <w:sz w:val="17"/>
                </w:rPr>
                <w:t>5.</w:t>
              </w:r>
              <w:r>
                <w:rPr>
                  <w:spacing w:val="2"/>
                  <w:sz w:val="17"/>
                </w:rPr>
                <w:t> </w:t>
              </w:r>
              <w:r>
                <w:rPr>
                  <w:sz w:val="17"/>
                </w:rPr>
                <w:t>Normativa</w:t>
              </w:r>
              <w:r>
                <w:rPr>
                  <w:spacing w:val="3"/>
                  <w:sz w:val="17"/>
                </w:rPr>
                <w:t> </w:t>
              </w:r>
              <w:r>
                <w:rPr>
                  <w:sz w:val="17"/>
                </w:rPr>
                <w:t>aplicable.</w:t>
              </w:r>
              <w:r>
                <w:rPr>
                  <w:spacing w:val="8"/>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12"/>
                  <w:sz w:val="17"/>
                </w:rPr>
                <w:t>.</w:t>
              </w:r>
              <w:r>
                <w:rPr>
                  <w:sz w:val="17"/>
                </w:rPr>
                <w:t> </w:t>
              </w:r>
            </w:hyperlink>
          </w:p>
        </w:tc>
        <w:tc>
          <w:tcPr>
            <w:tcW w:w="394" w:type="dxa"/>
          </w:tcPr>
          <w:p>
            <w:pPr>
              <w:pStyle w:val="TableParagraph"/>
              <w:spacing w:before="123"/>
              <w:ind w:right="48"/>
              <w:rPr>
                <w:sz w:val="17"/>
              </w:rPr>
            </w:pPr>
            <w:hyperlink w:history="true" w:anchor="_bookmark9">
              <w:r>
                <w:rPr>
                  <w:spacing w:val="-5"/>
                  <w:sz w:val="17"/>
                </w:rPr>
                <w:t>12</w:t>
              </w:r>
            </w:hyperlink>
          </w:p>
        </w:tc>
      </w:tr>
      <w:tr>
        <w:trPr>
          <w:trHeight w:val="439" w:hRule="atLeast"/>
        </w:trPr>
        <w:tc>
          <w:tcPr>
            <w:tcW w:w="9117" w:type="dxa"/>
          </w:tcPr>
          <w:p>
            <w:pPr>
              <w:pStyle w:val="TableParagraph"/>
              <w:ind w:right="148"/>
              <w:rPr>
                <w:sz w:val="17"/>
              </w:rPr>
            </w:pPr>
            <w:hyperlink w:history="true" w:anchor="_bookmark10">
              <w:r>
                <w:rPr>
                  <w:sz w:val="17"/>
                </w:rPr>
                <w:t>Artículo</w:t>
              </w:r>
              <w:r>
                <w:rPr>
                  <w:spacing w:val="3"/>
                  <w:sz w:val="17"/>
                </w:rPr>
                <w:t> </w:t>
              </w:r>
              <w:r>
                <w:rPr>
                  <w:sz w:val="17"/>
                </w:rPr>
                <w:t>6.</w:t>
              </w:r>
              <w:r>
                <w:rPr>
                  <w:spacing w:val="3"/>
                  <w:sz w:val="17"/>
                </w:rPr>
                <w:t> </w:t>
              </w:r>
              <w:r>
                <w:rPr>
                  <w:sz w:val="17"/>
                </w:rPr>
                <w:t>Rentas</w:t>
              </w:r>
              <w:r>
                <w:rPr>
                  <w:spacing w:val="3"/>
                  <w:sz w:val="17"/>
                </w:rPr>
                <w:t> </w:t>
              </w:r>
              <w:r>
                <w:rPr>
                  <w:sz w:val="17"/>
                </w:rPr>
                <w:t>exentas..</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10">
              <w:r>
                <w:rPr>
                  <w:spacing w:val="-5"/>
                  <w:sz w:val="17"/>
                </w:rPr>
                <w:t>12</w:t>
              </w:r>
            </w:hyperlink>
          </w:p>
        </w:tc>
      </w:tr>
      <w:tr>
        <w:trPr>
          <w:trHeight w:val="440" w:hRule="atLeast"/>
        </w:trPr>
        <w:tc>
          <w:tcPr>
            <w:tcW w:w="9117" w:type="dxa"/>
          </w:tcPr>
          <w:p>
            <w:pPr>
              <w:pStyle w:val="TableParagraph"/>
              <w:ind w:right="148"/>
              <w:rPr>
                <w:sz w:val="17"/>
              </w:rPr>
            </w:pPr>
            <w:hyperlink w:history="true" w:anchor="_bookmark11">
              <w:r>
                <w:rPr>
                  <w:sz w:val="17"/>
                </w:rPr>
                <w:t>Artículo</w:t>
              </w:r>
              <w:r>
                <w:rPr>
                  <w:spacing w:val="3"/>
                  <w:sz w:val="17"/>
                </w:rPr>
                <w:t> </w:t>
              </w:r>
              <w:r>
                <w:rPr>
                  <w:sz w:val="17"/>
                </w:rPr>
                <w:t>7.</w:t>
              </w:r>
              <w:r>
                <w:rPr>
                  <w:spacing w:val="3"/>
                  <w:sz w:val="17"/>
                </w:rPr>
                <w:t> </w:t>
              </w:r>
              <w:r>
                <w:rPr>
                  <w:sz w:val="17"/>
                </w:rPr>
                <w:t>Explotaciones</w:t>
              </w:r>
              <w:r>
                <w:rPr>
                  <w:spacing w:val="3"/>
                  <w:sz w:val="17"/>
                </w:rPr>
                <w:t> </w:t>
              </w:r>
              <w:r>
                <w:rPr>
                  <w:sz w:val="17"/>
                </w:rPr>
                <w:t>económicas</w:t>
              </w:r>
              <w:r>
                <w:rPr>
                  <w:spacing w:val="4"/>
                  <w:sz w:val="17"/>
                </w:rPr>
                <w:t> </w:t>
              </w:r>
              <w:r>
                <w:rPr>
                  <w:sz w:val="17"/>
                </w:rPr>
                <w:t>exentas.</w:t>
              </w:r>
              <w:r>
                <w:rPr>
                  <w:spacing w:val="11"/>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11">
              <w:r>
                <w:rPr>
                  <w:spacing w:val="-5"/>
                  <w:sz w:val="17"/>
                </w:rPr>
                <w:t>13</w:t>
              </w:r>
            </w:hyperlink>
          </w:p>
        </w:tc>
      </w:tr>
      <w:tr>
        <w:trPr>
          <w:trHeight w:val="440" w:hRule="atLeast"/>
        </w:trPr>
        <w:tc>
          <w:tcPr>
            <w:tcW w:w="9117" w:type="dxa"/>
          </w:tcPr>
          <w:p>
            <w:pPr>
              <w:pStyle w:val="TableParagraph"/>
              <w:ind w:right="148"/>
              <w:rPr>
                <w:sz w:val="17"/>
              </w:rPr>
            </w:pPr>
            <w:hyperlink w:history="true" w:anchor="_bookmark12">
              <w:r>
                <w:rPr>
                  <w:sz w:val="17"/>
                </w:rPr>
                <w:t>Artículo</w:t>
              </w:r>
              <w:r>
                <w:rPr>
                  <w:spacing w:val="3"/>
                  <w:sz w:val="17"/>
                </w:rPr>
                <w:t> </w:t>
              </w:r>
              <w:r>
                <w:rPr>
                  <w:sz w:val="17"/>
                </w:rPr>
                <w:t>8.</w:t>
              </w:r>
              <w:r>
                <w:rPr>
                  <w:spacing w:val="4"/>
                  <w:sz w:val="17"/>
                </w:rPr>
                <w:t> </w:t>
              </w:r>
              <w:r>
                <w:rPr>
                  <w:sz w:val="17"/>
                </w:rPr>
                <w:t>Determinación</w:t>
              </w:r>
              <w:r>
                <w:rPr>
                  <w:spacing w:val="3"/>
                  <w:sz w:val="17"/>
                </w:rPr>
                <w:t> </w:t>
              </w:r>
              <w:r>
                <w:rPr>
                  <w:sz w:val="17"/>
                </w:rPr>
                <w:t>de</w:t>
              </w:r>
              <w:r>
                <w:rPr>
                  <w:spacing w:val="4"/>
                  <w:sz w:val="17"/>
                </w:rPr>
                <w:t> </w:t>
              </w:r>
              <w:r>
                <w:rPr>
                  <w:sz w:val="17"/>
                </w:rPr>
                <w:t>la</w:t>
              </w:r>
              <w:r>
                <w:rPr>
                  <w:spacing w:val="4"/>
                  <w:sz w:val="17"/>
                </w:rPr>
                <w:t> </w:t>
              </w:r>
              <w:r>
                <w:rPr>
                  <w:sz w:val="17"/>
                </w:rPr>
                <w:t>base</w:t>
              </w:r>
              <w:r>
                <w:rPr>
                  <w:spacing w:val="3"/>
                  <w:sz w:val="17"/>
                </w:rPr>
                <w:t> </w:t>
              </w:r>
              <w:r>
                <w:rPr>
                  <w:sz w:val="17"/>
                </w:rPr>
                <w:t>imponible..</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12">
              <w:r>
                <w:rPr>
                  <w:spacing w:val="-5"/>
                  <w:sz w:val="17"/>
                </w:rPr>
                <w:t>14</w:t>
              </w:r>
            </w:hyperlink>
          </w:p>
        </w:tc>
      </w:tr>
      <w:tr>
        <w:trPr>
          <w:trHeight w:val="440" w:hRule="atLeast"/>
        </w:trPr>
        <w:tc>
          <w:tcPr>
            <w:tcW w:w="9117" w:type="dxa"/>
          </w:tcPr>
          <w:p>
            <w:pPr>
              <w:pStyle w:val="TableParagraph"/>
              <w:ind w:right="148"/>
              <w:rPr>
                <w:sz w:val="17"/>
              </w:rPr>
            </w:pPr>
            <w:hyperlink w:history="true" w:anchor="_bookmark13">
              <w:r>
                <w:rPr>
                  <w:sz w:val="17"/>
                </w:rPr>
                <w:t>Artículo</w:t>
              </w:r>
              <w:r>
                <w:rPr>
                  <w:spacing w:val="1"/>
                  <w:sz w:val="17"/>
                </w:rPr>
                <w:t> </w:t>
              </w:r>
              <w:r>
                <w:rPr>
                  <w:sz w:val="17"/>
                </w:rPr>
                <w:t>9.</w:t>
              </w:r>
              <w:r>
                <w:rPr>
                  <w:spacing w:val="3"/>
                  <w:sz w:val="17"/>
                </w:rPr>
                <w:t> </w:t>
              </w:r>
              <w:r>
                <w:rPr>
                  <w:sz w:val="17"/>
                </w:rPr>
                <w:t>Normas</w:t>
              </w:r>
              <w:r>
                <w:rPr>
                  <w:spacing w:val="4"/>
                  <w:sz w:val="17"/>
                </w:rPr>
                <w:t> </w:t>
              </w:r>
              <w:r>
                <w:rPr>
                  <w:sz w:val="17"/>
                </w:rPr>
                <w:t>de</w:t>
              </w:r>
              <w:r>
                <w:rPr>
                  <w:spacing w:val="3"/>
                  <w:sz w:val="17"/>
                </w:rPr>
                <w:t> </w:t>
              </w:r>
              <w:r>
                <w:rPr>
                  <w:sz w:val="17"/>
                </w:rPr>
                <w:t>valoración..</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13">
              <w:r>
                <w:rPr>
                  <w:spacing w:val="-5"/>
                  <w:sz w:val="17"/>
                </w:rPr>
                <w:t>14</w:t>
              </w:r>
            </w:hyperlink>
          </w:p>
        </w:tc>
      </w:tr>
      <w:tr>
        <w:trPr>
          <w:trHeight w:val="440" w:hRule="atLeast"/>
        </w:trPr>
        <w:tc>
          <w:tcPr>
            <w:tcW w:w="9117" w:type="dxa"/>
          </w:tcPr>
          <w:p>
            <w:pPr>
              <w:pStyle w:val="TableParagraph"/>
              <w:ind w:right="148"/>
              <w:rPr>
                <w:sz w:val="17"/>
              </w:rPr>
            </w:pPr>
            <w:hyperlink w:history="true" w:anchor="_bookmark14">
              <w:r>
                <w:rPr>
                  <w:sz w:val="17"/>
                </w:rPr>
                <w:t>Artículo</w:t>
              </w:r>
              <w:r>
                <w:rPr>
                  <w:spacing w:val="2"/>
                  <w:sz w:val="17"/>
                </w:rPr>
                <w:t> </w:t>
              </w:r>
              <w:r>
                <w:rPr>
                  <w:sz w:val="17"/>
                </w:rPr>
                <w:t>10.</w:t>
              </w:r>
              <w:r>
                <w:rPr>
                  <w:spacing w:val="2"/>
                  <w:sz w:val="17"/>
                </w:rPr>
                <w:t> </w:t>
              </w:r>
              <w:r>
                <w:rPr>
                  <w:sz w:val="17"/>
                </w:rPr>
                <w:t>Tipo</w:t>
              </w:r>
              <w:r>
                <w:rPr>
                  <w:spacing w:val="3"/>
                  <w:sz w:val="17"/>
                </w:rPr>
                <w:t> </w:t>
              </w:r>
              <w:r>
                <w:rPr>
                  <w:sz w:val="17"/>
                </w:rPr>
                <w:t>de</w:t>
              </w:r>
              <w:r>
                <w:rPr>
                  <w:spacing w:val="2"/>
                  <w:sz w:val="17"/>
                </w:rPr>
                <w:t> </w:t>
              </w:r>
              <w:r>
                <w:rPr>
                  <w:sz w:val="17"/>
                </w:rPr>
                <w:t>gravamen.</w:t>
              </w:r>
              <w:r>
                <w:rPr>
                  <w:spacing w:val="43"/>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14">
              <w:r>
                <w:rPr>
                  <w:spacing w:val="-5"/>
                  <w:sz w:val="17"/>
                </w:rPr>
                <w:t>14</w:t>
              </w:r>
            </w:hyperlink>
          </w:p>
        </w:tc>
      </w:tr>
      <w:tr>
        <w:trPr>
          <w:trHeight w:val="440" w:hRule="atLeast"/>
        </w:trPr>
        <w:tc>
          <w:tcPr>
            <w:tcW w:w="9117" w:type="dxa"/>
          </w:tcPr>
          <w:p>
            <w:pPr>
              <w:pStyle w:val="TableParagraph"/>
              <w:ind w:right="148"/>
              <w:rPr>
                <w:sz w:val="17"/>
              </w:rPr>
            </w:pPr>
            <w:hyperlink w:history="true" w:anchor="_bookmark15">
              <w:r>
                <w:rPr>
                  <w:sz w:val="17"/>
                </w:rPr>
                <w:t>Artículo</w:t>
              </w:r>
              <w:r>
                <w:rPr>
                  <w:spacing w:val="2"/>
                  <w:sz w:val="17"/>
                </w:rPr>
                <w:t> </w:t>
              </w:r>
              <w:r>
                <w:rPr>
                  <w:sz w:val="17"/>
                </w:rPr>
                <w:t>11.</w:t>
              </w:r>
              <w:r>
                <w:rPr>
                  <w:spacing w:val="3"/>
                  <w:sz w:val="17"/>
                </w:rPr>
                <w:t> </w:t>
              </w:r>
              <w:r>
                <w:rPr>
                  <w:sz w:val="17"/>
                </w:rPr>
                <w:t>Obligaciones</w:t>
              </w:r>
              <w:r>
                <w:rPr>
                  <w:spacing w:val="2"/>
                  <w:sz w:val="17"/>
                </w:rPr>
                <w:t> </w:t>
              </w:r>
              <w:r>
                <w:rPr>
                  <w:sz w:val="17"/>
                </w:rPr>
                <w:t>contables.</w:t>
              </w:r>
              <w:r>
                <w:rPr>
                  <w:spacing w:val="1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15">
              <w:r>
                <w:rPr>
                  <w:spacing w:val="-5"/>
                  <w:sz w:val="17"/>
                </w:rPr>
                <w:t>14</w:t>
              </w:r>
            </w:hyperlink>
          </w:p>
        </w:tc>
      </w:tr>
      <w:tr>
        <w:trPr>
          <w:trHeight w:val="440" w:hRule="atLeast"/>
        </w:trPr>
        <w:tc>
          <w:tcPr>
            <w:tcW w:w="9117" w:type="dxa"/>
          </w:tcPr>
          <w:p>
            <w:pPr>
              <w:pStyle w:val="TableParagraph"/>
              <w:ind w:right="148"/>
              <w:rPr>
                <w:sz w:val="17"/>
              </w:rPr>
            </w:pPr>
            <w:hyperlink w:history="true" w:anchor="_bookmark16">
              <w:r>
                <w:rPr>
                  <w:sz w:val="17"/>
                </w:rPr>
                <w:t>Artículo</w:t>
              </w:r>
              <w:r>
                <w:rPr>
                  <w:spacing w:val="3"/>
                  <w:sz w:val="17"/>
                </w:rPr>
                <w:t> </w:t>
              </w:r>
              <w:r>
                <w:rPr>
                  <w:sz w:val="17"/>
                </w:rPr>
                <w:t>12.</w:t>
              </w:r>
              <w:r>
                <w:rPr>
                  <w:spacing w:val="4"/>
                  <w:sz w:val="17"/>
                </w:rPr>
                <w:t> </w:t>
              </w:r>
              <w:r>
                <w:rPr>
                  <w:sz w:val="17"/>
                </w:rPr>
                <w:t>Rentas</w:t>
              </w:r>
              <w:r>
                <w:rPr>
                  <w:spacing w:val="4"/>
                  <w:sz w:val="17"/>
                </w:rPr>
                <w:t> </w:t>
              </w:r>
              <w:r>
                <w:rPr>
                  <w:sz w:val="17"/>
                </w:rPr>
                <w:t>no</w:t>
              </w:r>
              <w:r>
                <w:rPr>
                  <w:spacing w:val="4"/>
                  <w:sz w:val="17"/>
                </w:rPr>
                <w:t> </w:t>
              </w:r>
              <w:r>
                <w:rPr>
                  <w:sz w:val="17"/>
                </w:rPr>
                <w:t>sujetas</w:t>
              </w:r>
              <w:r>
                <w:rPr>
                  <w:spacing w:val="4"/>
                  <w:sz w:val="17"/>
                </w:rPr>
                <w:t> </w:t>
              </w:r>
              <w:r>
                <w:rPr>
                  <w:sz w:val="17"/>
                </w:rPr>
                <w:t>a</w:t>
              </w:r>
              <w:r>
                <w:rPr>
                  <w:spacing w:val="4"/>
                  <w:sz w:val="17"/>
                </w:rPr>
                <w:t> </w:t>
              </w:r>
              <w:r>
                <w:rPr>
                  <w:sz w:val="17"/>
                </w:rPr>
                <w:t>retención..</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right="48"/>
              <w:rPr>
                <w:sz w:val="17"/>
              </w:rPr>
            </w:pPr>
            <w:hyperlink w:history="true" w:anchor="_bookmark16">
              <w:r>
                <w:rPr>
                  <w:spacing w:val="-5"/>
                  <w:sz w:val="17"/>
                </w:rPr>
                <w:t>14</w:t>
              </w:r>
            </w:hyperlink>
          </w:p>
        </w:tc>
      </w:tr>
      <w:tr>
        <w:trPr>
          <w:trHeight w:val="320" w:hRule="atLeast"/>
        </w:trPr>
        <w:tc>
          <w:tcPr>
            <w:tcW w:w="9117" w:type="dxa"/>
          </w:tcPr>
          <w:p>
            <w:pPr>
              <w:pStyle w:val="TableParagraph"/>
              <w:spacing w:line="182" w:lineRule="exact"/>
              <w:ind w:right="148"/>
              <w:rPr>
                <w:sz w:val="17"/>
              </w:rPr>
            </w:pPr>
            <w:hyperlink w:history="true" w:anchor="_bookmark17">
              <w:r>
                <w:rPr>
                  <w:sz w:val="17"/>
                </w:rPr>
                <w:t>Artículo</w:t>
              </w:r>
              <w:r>
                <w:rPr>
                  <w:spacing w:val="2"/>
                  <w:sz w:val="17"/>
                </w:rPr>
                <w:t> </w:t>
              </w:r>
              <w:r>
                <w:rPr>
                  <w:sz w:val="17"/>
                </w:rPr>
                <w:t>13.</w:t>
              </w:r>
              <w:r>
                <w:rPr>
                  <w:spacing w:val="2"/>
                  <w:sz w:val="17"/>
                </w:rPr>
                <w:t> </w:t>
              </w:r>
              <w:r>
                <w:rPr>
                  <w:sz w:val="17"/>
                </w:rPr>
                <w:t>Obligación</w:t>
              </w:r>
              <w:r>
                <w:rPr>
                  <w:spacing w:val="2"/>
                  <w:sz w:val="17"/>
                </w:rPr>
                <w:t> </w:t>
              </w:r>
              <w:r>
                <w:rPr>
                  <w:sz w:val="17"/>
                </w:rPr>
                <w:t>de</w:t>
              </w:r>
              <w:r>
                <w:rPr>
                  <w:spacing w:val="3"/>
                  <w:sz w:val="17"/>
                </w:rPr>
                <w:t> </w:t>
              </w:r>
              <w:r>
                <w:rPr>
                  <w:sz w:val="17"/>
                </w:rPr>
                <w:t>declarar.</w:t>
              </w:r>
              <w:r>
                <w:rPr>
                  <w:spacing w:val="67"/>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10"/>
                  <w:sz w:val="17"/>
                </w:rPr>
                <w:t>.</w:t>
              </w:r>
              <w:r>
                <w:rPr>
                  <w:sz w:val="17"/>
                </w:rPr>
                <w:t> </w:t>
              </w:r>
            </w:hyperlink>
          </w:p>
        </w:tc>
        <w:tc>
          <w:tcPr>
            <w:tcW w:w="394" w:type="dxa"/>
          </w:tcPr>
          <w:p>
            <w:pPr>
              <w:pStyle w:val="TableParagraph"/>
              <w:spacing w:line="177" w:lineRule="exact" w:before="123"/>
              <w:ind w:right="48"/>
              <w:rPr>
                <w:sz w:val="17"/>
              </w:rPr>
            </w:pPr>
            <w:hyperlink w:history="true" w:anchor="_bookmark17">
              <w:r>
                <w:rPr>
                  <w:spacing w:val="-5"/>
                  <w:sz w:val="17"/>
                </w:rPr>
                <w:t>15</w:t>
              </w:r>
            </w:hyperlink>
          </w:p>
        </w:tc>
      </w:tr>
    </w:tbl>
    <w:p>
      <w:pPr>
        <w:pStyle w:val="TableParagraph"/>
        <w:spacing w:after="0" w:line="177" w:lineRule="exact"/>
        <w:rPr>
          <w:sz w:val="17"/>
        </w:rPr>
        <w:sectPr>
          <w:footerReference w:type="default" r:id="rId5"/>
          <w:type w:val="continuous"/>
          <w:pgSz w:w="11910" w:h="16840"/>
          <w:pgMar w:header="0" w:footer="530" w:top="560" w:bottom="760" w:left="1559" w:right="708"/>
          <w:pgNumType w:start="1"/>
        </w:sectPr>
      </w:pPr>
    </w:p>
    <w:p>
      <w:pPr>
        <w:pStyle w:val="BodyText"/>
        <w:spacing w:before="0"/>
        <w:ind w:left="0" w:firstLine="0"/>
        <w:jc w:val="left"/>
      </w:pPr>
    </w:p>
    <w:p>
      <w:pPr>
        <w:pStyle w:val="BodyText"/>
        <w:spacing w:before="47"/>
        <w:ind w:left="0" w:firstLine="0"/>
        <w:jc w:val="left"/>
      </w:pPr>
    </w:p>
    <w:tbl>
      <w:tblPr>
        <w:tblW w:w="0" w:type="auto"/>
        <w:jc w:val="left"/>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17"/>
        <w:gridCol w:w="394"/>
      </w:tblGrid>
      <w:tr>
        <w:trPr>
          <w:trHeight w:val="320" w:hRule="atLeast"/>
        </w:trPr>
        <w:tc>
          <w:tcPr>
            <w:tcW w:w="9117" w:type="dxa"/>
          </w:tcPr>
          <w:p>
            <w:pPr>
              <w:pStyle w:val="TableParagraph"/>
              <w:spacing w:line="194" w:lineRule="exact" w:before="0"/>
              <w:ind w:right="148"/>
              <w:rPr>
                <w:sz w:val="17"/>
              </w:rPr>
            </w:pPr>
            <w:hyperlink w:history="true" w:anchor="_bookmark18">
              <w:r>
                <w:rPr>
                  <w:sz w:val="17"/>
                </w:rPr>
                <w:t>Artículo</w:t>
              </w:r>
              <w:r>
                <w:rPr>
                  <w:spacing w:val="2"/>
                  <w:sz w:val="17"/>
                </w:rPr>
                <w:t> </w:t>
              </w:r>
              <w:r>
                <w:rPr>
                  <w:sz w:val="17"/>
                </w:rPr>
                <w:t>14.</w:t>
              </w:r>
              <w:r>
                <w:rPr>
                  <w:spacing w:val="3"/>
                  <w:sz w:val="17"/>
                </w:rPr>
                <w:t> </w:t>
              </w:r>
              <w:r>
                <w:rPr>
                  <w:sz w:val="17"/>
                </w:rPr>
                <w:t>Aplicación</w:t>
              </w:r>
              <w:r>
                <w:rPr>
                  <w:spacing w:val="3"/>
                  <w:sz w:val="17"/>
                </w:rPr>
                <w:t> </w:t>
              </w:r>
              <w:r>
                <w:rPr>
                  <w:sz w:val="17"/>
                </w:rPr>
                <w:t>del</w:t>
              </w:r>
              <w:r>
                <w:rPr>
                  <w:spacing w:val="3"/>
                  <w:sz w:val="17"/>
                </w:rPr>
                <w:t> </w:t>
              </w:r>
              <w:r>
                <w:rPr>
                  <w:sz w:val="17"/>
                </w:rPr>
                <w:t>régimen</w:t>
              </w:r>
              <w:r>
                <w:rPr>
                  <w:spacing w:val="3"/>
                  <w:sz w:val="17"/>
                </w:rPr>
                <w:t> </w:t>
              </w:r>
              <w:r>
                <w:rPr>
                  <w:sz w:val="17"/>
                </w:rPr>
                <w:t>fiscal</w:t>
              </w:r>
              <w:r>
                <w:rPr>
                  <w:spacing w:val="2"/>
                  <w:sz w:val="17"/>
                </w:rPr>
                <w:t> </w:t>
              </w:r>
              <w:r>
                <w:rPr>
                  <w:sz w:val="17"/>
                </w:rPr>
                <w:t>especial.</w:t>
              </w:r>
              <w:r>
                <w:rPr>
                  <w:spacing w:val="-1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10"/>
                  <w:sz w:val="17"/>
                </w:rPr>
                <w:t>.</w:t>
              </w:r>
              <w:r>
                <w:rPr>
                  <w:sz w:val="17"/>
                </w:rPr>
                <w:t> </w:t>
              </w:r>
            </w:hyperlink>
          </w:p>
        </w:tc>
        <w:tc>
          <w:tcPr>
            <w:tcW w:w="394" w:type="dxa"/>
          </w:tcPr>
          <w:p>
            <w:pPr>
              <w:pStyle w:val="TableParagraph"/>
              <w:spacing w:before="4"/>
              <w:ind w:left="99"/>
              <w:jc w:val="center"/>
              <w:rPr>
                <w:sz w:val="17"/>
              </w:rPr>
            </w:pPr>
            <w:hyperlink w:history="true" w:anchor="_bookmark18">
              <w:r>
                <w:rPr>
                  <w:spacing w:val="-5"/>
                  <w:sz w:val="17"/>
                </w:rPr>
                <w:t>15</w:t>
              </w:r>
            </w:hyperlink>
          </w:p>
        </w:tc>
      </w:tr>
      <w:tr>
        <w:trPr>
          <w:trHeight w:val="440" w:hRule="atLeast"/>
        </w:trPr>
        <w:tc>
          <w:tcPr>
            <w:tcW w:w="9117" w:type="dxa"/>
          </w:tcPr>
          <w:p>
            <w:pPr>
              <w:pStyle w:val="TableParagraph"/>
              <w:ind w:right="148"/>
              <w:rPr>
                <w:sz w:val="17"/>
              </w:rPr>
            </w:pPr>
            <w:hyperlink w:history="true" w:anchor="_bookmark19">
              <w:r>
                <w:rPr>
                  <w:sz w:val="17"/>
                </w:rPr>
                <w:t>CAPÍTULO</w:t>
              </w:r>
              <w:r>
                <w:rPr>
                  <w:spacing w:val="2"/>
                  <w:sz w:val="17"/>
                </w:rPr>
                <w:t> </w:t>
              </w:r>
              <w:r>
                <w:rPr>
                  <w:sz w:val="17"/>
                </w:rPr>
                <w:t>III.</w:t>
              </w:r>
              <w:r>
                <w:rPr>
                  <w:spacing w:val="3"/>
                  <w:sz w:val="17"/>
                </w:rPr>
                <w:t> </w:t>
              </w:r>
              <w:r>
                <w:rPr>
                  <w:sz w:val="17"/>
                </w:rPr>
                <w:t>Tributos</w:t>
              </w:r>
              <w:r>
                <w:rPr>
                  <w:spacing w:val="2"/>
                  <w:sz w:val="17"/>
                </w:rPr>
                <w:t> </w:t>
              </w:r>
              <w:r>
                <w:rPr>
                  <w:sz w:val="17"/>
                </w:rPr>
                <w:t>locales</w:t>
              </w:r>
              <w:r>
                <w:rPr>
                  <w:spacing w:val="44"/>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19">
              <w:r>
                <w:rPr>
                  <w:spacing w:val="-5"/>
                  <w:sz w:val="17"/>
                </w:rPr>
                <w:t>15</w:t>
              </w:r>
            </w:hyperlink>
          </w:p>
        </w:tc>
      </w:tr>
      <w:tr>
        <w:trPr>
          <w:trHeight w:val="440" w:hRule="atLeast"/>
        </w:trPr>
        <w:tc>
          <w:tcPr>
            <w:tcW w:w="9117" w:type="dxa"/>
          </w:tcPr>
          <w:p>
            <w:pPr>
              <w:pStyle w:val="TableParagraph"/>
              <w:ind w:right="148"/>
              <w:rPr>
                <w:sz w:val="17"/>
              </w:rPr>
            </w:pPr>
            <w:hyperlink w:history="true" w:anchor="_bookmark20">
              <w:r>
                <w:rPr>
                  <w:sz w:val="17"/>
                </w:rPr>
                <w:t>Artículo</w:t>
              </w:r>
              <w:r>
                <w:rPr>
                  <w:spacing w:val="2"/>
                  <w:sz w:val="17"/>
                </w:rPr>
                <w:t> </w:t>
              </w:r>
              <w:r>
                <w:rPr>
                  <w:sz w:val="17"/>
                </w:rPr>
                <w:t>15.</w:t>
              </w:r>
              <w:r>
                <w:rPr>
                  <w:spacing w:val="2"/>
                  <w:sz w:val="17"/>
                </w:rPr>
                <w:t> </w:t>
              </w:r>
              <w:r>
                <w:rPr>
                  <w:sz w:val="17"/>
                </w:rPr>
                <w:t>Tributos</w:t>
              </w:r>
              <w:r>
                <w:rPr>
                  <w:spacing w:val="3"/>
                  <w:sz w:val="17"/>
                </w:rPr>
                <w:t> </w:t>
              </w:r>
              <w:r>
                <w:rPr>
                  <w:sz w:val="17"/>
                </w:rPr>
                <w:t>locales.</w:t>
              </w:r>
              <w:r>
                <w:rPr>
                  <w:spacing w:val="-13"/>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0">
              <w:r>
                <w:rPr>
                  <w:spacing w:val="-5"/>
                  <w:sz w:val="17"/>
                </w:rPr>
                <w:t>15</w:t>
              </w:r>
            </w:hyperlink>
          </w:p>
        </w:tc>
      </w:tr>
      <w:tr>
        <w:trPr>
          <w:trHeight w:val="440" w:hRule="atLeast"/>
        </w:trPr>
        <w:tc>
          <w:tcPr>
            <w:tcW w:w="9117" w:type="dxa"/>
          </w:tcPr>
          <w:p>
            <w:pPr>
              <w:pStyle w:val="TableParagraph"/>
              <w:ind w:right="148"/>
              <w:rPr>
                <w:sz w:val="17"/>
              </w:rPr>
            </w:pPr>
            <w:hyperlink w:history="true" w:anchor="_bookmark21">
              <w:r>
                <w:rPr>
                  <w:sz w:val="17"/>
                </w:rPr>
                <w:t>TÍTULO</w:t>
              </w:r>
              <w:r>
                <w:rPr>
                  <w:spacing w:val="2"/>
                  <w:sz w:val="17"/>
                </w:rPr>
                <w:t> </w:t>
              </w:r>
              <w:r>
                <w:rPr>
                  <w:sz w:val="17"/>
                </w:rPr>
                <w:t>III.</w:t>
              </w:r>
              <w:r>
                <w:rPr>
                  <w:spacing w:val="3"/>
                  <w:sz w:val="17"/>
                </w:rPr>
                <w:t> </w:t>
              </w:r>
              <w:r>
                <w:rPr>
                  <w:sz w:val="17"/>
                </w:rPr>
                <w:t>Incentivos</w:t>
              </w:r>
              <w:r>
                <w:rPr>
                  <w:spacing w:val="3"/>
                  <w:sz w:val="17"/>
                </w:rPr>
                <w:t> </w:t>
              </w:r>
              <w:r>
                <w:rPr>
                  <w:sz w:val="17"/>
                </w:rPr>
                <w:t>fiscales</w:t>
              </w:r>
              <w:r>
                <w:rPr>
                  <w:spacing w:val="3"/>
                  <w:sz w:val="17"/>
                </w:rPr>
                <w:t> </w:t>
              </w:r>
              <w:r>
                <w:rPr>
                  <w:sz w:val="17"/>
                </w:rPr>
                <w:t>al</w:t>
              </w:r>
              <w:r>
                <w:rPr>
                  <w:spacing w:val="3"/>
                  <w:sz w:val="17"/>
                </w:rPr>
                <w:t> </w:t>
              </w:r>
              <w:r>
                <w:rPr>
                  <w:sz w:val="17"/>
                </w:rPr>
                <w:t>mecenazgo</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1">
              <w:r>
                <w:rPr>
                  <w:spacing w:val="-5"/>
                  <w:sz w:val="17"/>
                </w:rPr>
                <w:t>16</w:t>
              </w:r>
            </w:hyperlink>
          </w:p>
        </w:tc>
      </w:tr>
      <w:tr>
        <w:trPr>
          <w:trHeight w:val="440" w:hRule="atLeast"/>
        </w:trPr>
        <w:tc>
          <w:tcPr>
            <w:tcW w:w="9117" w:type="dxa"/>
          </w:tcPr>
          <w:p>
            <w:pPr>
              <w:pStyle w:val="TableParagraph"/>
              <w:ind w:right="148"/>
              <w:rPr>
                <w:sz w:val="17"/>
              </w:rPr>
            </w:pPr>
            <w:hyperlink w:history="true" w:anchor="_bookmark22">
              <w:r>
                <w:rPr>
                  <w:sz w:val="17"/>
                </w:rPr>
                <w:t>CAPÍTULO</w:t>
              </w:r>
              <w:r>
                <w:rPr>
                  <w:spacing w:val="2"/>
                  <w:sz w:val="17"/>
                </w:rPr>
                <w:t> </w:t>
              </w:r>
              <w:r>
                <w:rPr>
                  <w:sz w:val="17"/>
                </w:rPr>
                <w:t>I.</w:t>
              </w:r>
              <w:r>
                <w:rPr>
                  <w:spacing w:val="3"/>
                  <w:sz w:val="17"/>
                </w:rPr>
                <w:t> </w:t>
              </w:r>
              <w:r>
                <w:rPr>
                  <w:sz w:val="17"/>
                </w:rPr>
                <w:t>Entidades</w:t>
              </w:r>
              <w:r>
                <w:rPr>
                  <w:spacing w:val="3"/>
                  <w:sz w:val="17"/>
                </w:rPr>
                <w:t> </w:t>
              </w:r>
              <w:r>
                <w:rPr>
                  <w:sz w:val="17"/>
                </w:rPr>
                <w:t>beneficiarias</w:t>
              </w:r>
              <w:r>
                <w:rPr>
                  <w:spacing w:val="3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2">
              <w:r>
                <w:rPr>
                  <w:spacing w:val="-5"/>
                  <w:sz w:val="17"/>
                </w:rPr>
                <w:t>16</w:t>
              </w:r>
            </w:hyperlink>
          </w:p>
        </w:tc>
      </w:tr>
      <w:tr>
        <w:trPr>
          <w:trHeight w:val="440" w:hRule="atLeast"/>
        </w:trPr>
        <w:tc>
          <w:tcPr>
            <w:tcW w:w="9117" w:type="dxa"/>
          </w:tcPr>
          <w:p>
            <w:pPr>
              <w:pStyle w:val="TableParagraph"/>
              <w:ind w:right="148"/>
              <w:rPr>
                <w:sz w:val="17"/>
              </w:rPr>
            </w:pPr>
            <w:hyperlink w:history="true" w:anchor="_bookmark23">
              <w:r>
                <w:rPr>
                  <w:sz w:val="17"/>
                </w:rPr>
                <w:t>Artículo</w:t>
              </w:r>
              <w:r>
                <w:rPr>
                  <w:spacing w:val="4"/>
                  <w:sz w:val="17"/>
                </w:rPr>
                <w:t> </w:t>
              </w:r>
              <w:r>
                <w:rPr>
                  <w:sz w:val="17"/>
                </w:rPr>
                <w:t>16.</w:t>
              </w:r>
              <w:r>
                <w:rPr>
                  <w:spacing w:val="4"/>
                  <w:sz w:val="17"/>
                </w:rPr>
                <w:t> </w:t>
              </w:r>
              <w:r>
                <w:rPr>
                  <w:sz w:val="17"/>
                </w:rPr>
                <w:t>Entidades</w:t>
              </w:r>
              <w:r>
                <w:rPr>
                  <w:spacing w:val="5"/>
                  <w:sz w:val="17"/>
                </w:rPr>
                <w:t> </w:t>
              </w:r>
              <w:r>
                <w:rPr>
                  <w:sz w:val="17"/>
                </w:rPr>
                <w:t>beneficiarias</w:t>
              </w:r>
              <w:r>
                <w:rPr>
                  <w:spacing w:val="4"/>
                  <w:sz w:val="17"/>
                </w:rPr>
                <w:t> </w:t>
              </w:r>
              <w:r>
                <w:rPr>
                  <w:sz w:val="17"/>
                </w:rPr>
                <w:t>del</w:t>
              </w:r>
              <w:r>
                <w:rPr>
                  <w:spacing w:val="4"/>
                  <w:sz w:val="17"/>
                </w:rPr>
                <w:t> </w:t>
              </w:r>
              <w:r>
                <w:rPr>
                  <w:sz w:val="17"/>
                </w:rPr>
                <w:t>mecenazgo..</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3">
              <w:r>
                <w:rPr>
                  <w:spacing w:val="-5"/>
                  <w:sz w:val="17"/>
                </w:rPr>
                <w:t>16</w:t>
              </w:r>
            </w:hyperlink>
          </w:p>
        </w:tc>
      </w:tr>
      <w:tr>
        <w:trPr>
          <w:trHeight w:val="440" w:hRule="atLeast"/>
        </w:trPr>
        <w:tc>
          <w:tcPr>
            <w:tcW w:w="9117" w:type="dxa"/>
          </w:tcPr>
          <w:p>
            <w:pPr>
              <w:pStyle w:val="TableParagraph"/>
              <w:ind w:right="148"/>
              <w:rPr>
                <w:sz w:val="17"/>
              </w:rPr>
            </w:pPr>
            <w:hyperlink w:history="true" w:anchor="_bookmark24">
              <w:r>
                <w:rPr>
                  <w:sz w:val="17"/>
                </w:rPr>
                <w:t>CAPÍTULO</w:t>
              </w:r>
              <w:r>
                <w:rPr>
                  <w:spacing w:val="3"/>
                  <w:sz w:val="17"/>
                </w:rPr>
                <w:t> </w:t>
              </w:r>
              <w:r>
                <w:rPr>
                  <w:sz w:val="17"/>
                </w:rPr>
                <w:t>II.</w:t>
              </w:r>
              <w:r>
                <w:rPr>
                  <w:spacing w:val="4"/>
                  <w:sz w:val="17"/>
                </w:rPr>
                <w:t> </w:t>
              </w:r>
              <w:r>
                <w:rPr>
                  <w:sz w:val="17"/>
                </w:rPr>
                <w:t>Régimen</w:t>
              </w:r>
              <w:r>
                <w:rPr>
                  <w:spacing w:val="4"/>
                  <w:sz w:val="17"/>
                </w:rPr>
                <w:t> </w:t>
              </w:r>
              <w:r>
                <w:rPr>
                  <w:sz w:val="17"/>
                </w:rPr>
                <w:t>fiscal</w:t>
              </w:r>
              <w:r>
                <w:rPr>
                  <w:spacing w:val="3"/>
                  <w:sz w:val="17"/>
                </w:rPr>
                <w:t> </w:t>
              </w:r>
              <w:r>
                <w:rPr>
                  <w:sz w:val="17"/>
                </w:rPr>
                <w:t>de</w:t>
              </w:r>
              <w:r>
                <w:rPr>
                  <w:spacing w:val="4"/>
                  <w:sz w:val="17"/>
                </w:rPr>
                <w:t> </w:t>
              </w:r>
              <w:r>
                <w:rPr>
                  <w:sz w:val="17"/>
                </w:rPr>
                <w:t>las</w:t>
              </w:r>
              <w:r>
                <w:rPr>
                  <w:spacing w:val="4"/>
                  <w:sz w:val="17"/>
                </w:rPr>
                <w:t> </w:t>
              </w:r>
              <w:r>
                <w:rPr>
                  <w:sz w:val="17"/>
                </w:rPr>
                <w:t>donaciones</w:t>
              </w:r>
              <w:r>
                <w:rPr>
                  <w:spacing w:val="3"/>
                  <w:sz w:val="17"/>
                </w:rPr>
                <w:t> </w:t>
              </w:r>
              <w:r>
                <w:rPr>
                  <w:sz w:val="17"/>
                </w:rPr>
                <w:t>y</w:t>
              </w:r>
              <w:r>
                <w:rPr>
                  <w:spacing w:val="4"/>
                  <w:sz w:val="17"/>
                </w:rPr>
                <w:t> </w:t>
              </w:r>
              <w:r>
                <w:rPr>
                  <w:sz w:val="17"/>
                </w:rPr>
                <w:t>aportaciones</w:t>
              </w:r>
              <w:r>
                <w:rPr>
                  <w:spacing w:val="39"/>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4">
              <w:r>
                <w:rPr>
                  <w:spacing w:val="-5"/>
                  <w:sz w:val="17"/>
                </w:rPr>
                <w:t>16</w:t>
              </w:r>
            </w:hyperlink>
          </w:p>
        </w:tc>
      </w:tr>
      <w:tr>
        <w:trPr>
          <w:trHeight w:val="440" w:hRule="atLeast"/>
        </w:trPr>
        <w:tc>
          <w:tcPr>
            <w:tcW w:w="9117" w:type="dxa"/>
          </w:tcPr>
          <w:p>
            <w:pPr>
              <w:pStyle w:val="TableParagraph"/>
              <w:ind w:right="148"/>
              <w:rPr>
                <w:sz w:val="17"/>
              </w:rPr>
            </w:pPr>
            <w:hyperlink w:history="true" w:anchor="_bookmark25">
              <w:r>
                <w:rPr>
                  <w:sz w:val="17"/>
                </w:rPr>
                <w:t>Artículo</w:t>
              </w:r>
              <w:r>
                <w:rPr>
                  <w:spacing w:val="4"/>
                  <w:sz w:val="17"/>
                </w:rPr>
                <w:t> </w:t>
              </w:r>
              <w:r>
                <w:rPr>
                  <w:sz w:val="17"/>
                </w:rPr>
                <w:t>17.</w:t>
              </w:r>
              <w:r>
                <w:rPr>
                  <w:spacing w:val="4"/>
                  <w:sz w:val="17"/>
                </w:rPr>
                <w:t> </w:t>
              </w:r>
              <w:r>
                <w:rPr>
                  <w:sz w:val="17"/>
                </w:rPr>
                <w:t>Donativos,</w:t>
              </w:r>
              <w:r>
                <w:rPr>
                  <w:spacing w:val="4"/>
                  <w:sz w:val="17"/>
                </w:rPr>
                <w:t> </w:t>
              </w:r>
              <w:r>
                <w:rPr>
                  <w:sz w:val="17"/>
                </w:rPr>
                <w:t>donaciones</w:t>
              </w:r>
              <w:r>
                <w:rPr>
                  <w:spacing w:val="5"/>
                  <w:sz w:val="17"/>
                </w:rPr>
                <w:t> </w:t>
              </w:r>
              <w:r>
                <w:rPr>
                  <w:sz w:val="17"/>
                </w:rPr>
                <w:t>y</w:t>
              </w:r>
              <w:r>
                <w:rPr>
                  <w:spacing w:val="4"/>
                  <w:sz w:val="17"/>
                </w:rPr>
                <w:t> </w:t>
              </w:r>
              <w:r>
                <w:rPr>
                  <w:sz w:val="17"/>
                </w:rPr>
                <w:t>aportaciones</w:t>
              </w:r>
              <w:r>
                <w:rPr>
                  <w:spacing w:val="4"/>
                  <w:sz w:val="17"/>
                </w:rPr>
                <w:t> </w:t>
              </w:r>
              <w:r>
                <w:rPr>
                  <w:sz w:val="17"/>
                </w:rPr>
                <w:t>deducibles.</w:t>
              </w:r>
              <w:r>
                <w:rPr>
                  <w:spacing w:val="5"/>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5">
              <w:r>
                <w:rPr>
                  <w:spacing w:val="-5"/>
                  <w:sz w:val="17"/>
                </w:rPr>
                <w:t>16</w:t>
              </w:r>
            </w:hyperlink>
          </w:p>
        </w:tc>
      </w:tr>
      <w:tr>
        <w:trPr>
          <w:trHeight w:val="440" w:hRule="atLeast"/>
        </w:trPr>
        <w:tc>
          <w:tcPr>
            <w:tcW w:w="9117" w:type="dxa"/>
          </w:tcPr>
          <w:p>
            <w:pPr>
              <w:pStyle w:val="TableParagraph"/>
              <w:ind w:right="149"/>
              <w:rPr>
                <w:sz w:val="17"/>
              </w:rPr>
            </w:pPr>
            <w:hyperlink w:history="true" w:anchor="_bookmark26">
              <w:r>
                <w:rPr>
                  <w:sz w:val="17"/>
                </w:rPr>
                <w:t>Artículo</w:t>
              </w:r>
              <w:r>
                <w:rPr>
                  <w:spacing w:val="5"/>
                  <w:sz w:val="17"/>
                </w:rPr>
                <w:t> </w:t>
              </w:r>
              <w:r>
                <w:rPr>
                  <w:sz w:val="17"/>
                </w:rPr>
                <w:t>18.</w:t>
              </w:r>
              <w:r>
                <w:rPr>
                  <w:spacing w:val="5"/>
                  <w:sz w:val="17"/>
                </w:rPr>
                <w:t> </w:t>
              </w:r>
              <w:r>
                <w:rPr>
                  <w:sz w:val="17"/>
                </w:rPr>
                <w:t>Base</w:t>
              </w:r>
              <w:r>
                <w:rPr>
                  <w:spacing w:val="6"/>
                  <w:sz w:val="17"/>
                </w:rPr>
                <w:t> </w:t>
              </w:r>
              <w:r>
                <w:rPr>
                  <w:sz w:val="17"/>
                </w:rPr>
                <w:t>de</w:t>
              </w:r>
              <w:r>
                <w:rPr>
                  <w:spacing w:val="5"/>
                  <w:sz w:val="17"/>
                </w:rPr>
                <w:t> </w:t>
              </w:r>
              <w:r>
                <w:rPr>
                  <w:sz w:val="17"/>
                </w:rPr>
                <w:t>las</w:t>
              </w:r>
              <w:r>
                <w:rPr>
                  <w:spacing w:val="5"/>
                  <w:sz w:val="17"/>
                </w:rPr>
                <w:t> </w:t>
              </w:r>
              <w:r>
                <w:rPr>
                  <w:sz w:val="17"/>
                </w:rPr>
                <w:t>deducciones</w:t>
              </w:r>
              <w:r>
                <w:rPr>
                  <w:spacing w:val="6"/>
                  <w:sz w:val="17"/>
                </w:rPr>
                <w:t> </w:t>
              </w:r>
              <w:r>
                <w:rPr>
                  <w:sz w:val="17"/>
                </w:rPr>
                <w:t>por</w:t>
              </w:r>
              <w:r>
                <w:rPr>
                  <w:spacing w:val="5"/>
                  <w:sz w:val="17"/>
                </w:rPr>
                <w:t> </w:t>
              </w:r>
              <w:r>
                <w:rPr>
                  <w:sz w:val="17"/>
                </w:rPr>
                <w:t>donativos,</w:t>
              </w:r>
              <w:r>
                <w:rPr>
                  <w:spacing w:val="5"/>
                  <w:sz w:val="17"/>
                </w:rPr>
                <w:t> </w:t>
              </w:r>
              <w:r>
                <w:rPr>
                  <w:sz w:val="17"/>
                </w:rPr>
                <w:t>donaciones</w:t>
              </w:r>
              <w:r>
                <w:rPr>
                  <w:spacing w:val="6"/>
                  <w:sz w:val="17"/>
                </w:rPr>
                <w:t> </w:t>
              </w:r>
              <w:r>
                <w:rPr>
                  <w:sz w:val="17"/>
                </w:rPr>
                <w:t>y</w:t>
              </w:r>
              <w:r>
                <w:rPr>
                  <w:spacing w:val="5"/>
                  <w:sz w:val="17"/>
                </w:rPr>
                <w:t> </w:t>
              </w:r>
              <w:r>
                <w:rPr>
                  <w:sz w:val="17"/>
                </w:rPr>
                <w:t>aportaciones.</w:t>
              </w:r>
              <w:r>
                <w:rPr>
                  <w:spacing w:val="70"/>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6">
              <w:r>
                <w:rPr>
                  <w:spacing w:val="-5"/>
                  <w:sz w:val="17"/>
                </w:rPr>
                <w:t>17</w:t>
              </w:r>
            </w:hyperlink>
          </w:p>
        </w:tc>
      </w:tr>
      <w:tr>
        <w:trPr>
          <w:trHeight w:val="440" w:hRule="atLeast"/>
        </w:trPr>
        <w:tc>
          <w:tcPr>
            <w:tcW w:w="9117" w:type="dxa"/>
          </w:tcPr>
          <w:p>
            <w:pPr>
              <w:pStyle w:val="TableParagraph"/>
              <w:ind w:right="149"/>
              <w:rPr>
                <w:sz w:val="17"/>
              </w:rPr>
            </w:pPr>
            <w:hyperlink w:history="true" w:anchor="_bookmark27">
              <w:r>
                <w:rPr>
                  <w:sz w:val="17"/>
                </w:rPr>
                <w:t>Artículo</w:t>
              </w:r>
              <w:r>
                <w:rPr>
                  <w:spacing w:val="4"/>
                  <w:sz w:val="17"/>
                </w:rPr>
                <w:t> </w:t>
              </w:r>
              <w:r>
                <w:rPr>
                  <w:sz w:val="17"/>
                </w:rPr>
                <w:t>19.</w:t>
              </w:r>
              <w:r>
                <w:rPr>
                  <w:spacing w:val="5"/>
                  <w:sz w:val="17"/>
                </w:rPr>
                <w:t> </w:t>
              </w:r>
              <w:r>
                <w:rPr>
                  <w:sz w:val="17"/>
                </w:rPr>
                <w:t>Deducción</w:t>
              </w:r>
              <w:r>
                <w:rPr>
                  <w:spacing w:val="5"/>
                  <w:sz w:val="17"/>
                </w:rPr>
                <w:t> </w:t>
              </w:r>
              <w:r>
                <w:rPr>
                  <w:sz w:val="17"/>
                </w:rPr>
                <w:t>de</w:t>
              </w:r>
              <w:r>
                <w:rPr>
                  <w:spacing w:val="4"/>
                  <w:sz w:val="17"/>
                </w:rPr>
                <w:t> </w:t>
              </w:r>
              <w:r>
                <w:rPr>
                  <w:sz w:val="17"/>
                </w:rPr>
                <w:t>la</w:t>
              </w:r>
              <w:r>
                <w:rPr>
                  <w:spacing w:val="5"/>
                  <w:sz w:val="17"/>
                </w:rPr>
                <w:t> </w:t>
              </w:r>
              <w:r>
                <w:rPr>
                  <w:sz w:val="17"/>
                </w:rPr>
                <w:t>cuota</w:t>
              </w:r>
              <w:r>
                <w:rPr>
                  <w:spacing w:val="5"/>
                  <w:sz w:val="17"/>
                </w:rPr>
                <w:t> </w:t>
              </w:r>
              <w:r>
                <w:rPr>
                  <w:sz w:val="17"/>
                </w:rPr>
                <w:t>del</w:t>
              </w:r>
              <w:r>
                <w:rPr>
                  <w:spacing w:val="4"/>
                  <w:sz w:val="17"/>
                </w:rPr>
                <w:t> </w:t>
              </w:r>
              <w:r>
                <w:rPr>
                  <w:sz w:val="17"/>
                </w:rPr>
                <w:t>Impuesto</w:t>
              </w:r>
              <w:r>
                <w:rPr>
                  <w:spacing w:val="5"/>
                  <w:sz w:val="17"/>
                </w:rPr>
                <w:t> </w:t>
              </w:r>
              <w:r>
                <w:rPr>
                  <w:sz w:val="17"/>
                </w:rPr>
                <w:t>sobre</w:t>
              </w:r>
              <w:r>
                <w:rPr>
                  <w:spacing w:val="5"/>
                  <w:sz w:val="17"/>
                </w:rPr>
                <w:t> </w:t>
              </w:r>
              <w:r>
                <w:rPr>
                  <w:sz w:val="17"/>
                </w:rPr>
                <w:t>la</w:t>
              </w:r>
              <w:r>
                <w:rPr>
                  <w:spacing w:val="4"/>
                  <w:sz w:val="17"/>
                </w:rPr>
                <w:t> </w:t>
              </w:r>
              <w:r>
                <w:rPr>
                  <w:sz w:val="17"/>
                </w:rPr>
                <w:t>Renta</w:t>
              </w:r>
              <w:r>
                <w:rPr>
                  <w:spacing w:val="5"/>
                  <w:sz w:val="17"/>
                </w:rPr>
                <w:t> </w:t>
              </w:r>
              <w:r>
                <w:rPr>
                  <w:sz w:val="17"/>
                </w:rPr>
                <w:t>de</w:t>
              </w:r>
              <w:r>
                <w:rPr>
                  <w:spacing w:val="5"/>
                  <w:sz w:val="17"/>
                </w:rPr>
                <w:t> </w:t>
              </w:r>
              <w:r>
                <w:rPr>
                  <w:sz w:val="17"/>
                </w:rPr>
                <w:t>las</w:t>
              </w:r>
              <w:r>
                <w:rPr>
                  <w:spacing w:val="4"/>
                  <w:sz w:val="17"/>
                </w:rPr>
                <w:t> </w:t>
              </w:r>
              <w:r>
                <w:rPr>
                  <w:sz w:val="17"/>
                </w:rPr>
                <w:t>Personas</w:t>
              </w:r>
              <w:r>
                <w:rPr>
                  <w:spacing w:val="5"/>
                  <w:sz w:val="17"/>
                </w:rPr>
                <w:t> </w:t>
              </w:r>
              <w:r>
                <w:rPr>
                  <w:sz w:val="17"/>
                </w:rPr>
                <w:t>Físicas.</w:t>
              </w:r>
              <w:r>
                <w:rPr>
                  <w:spacing w:val="16"/>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7">
              <w:r>
                <w:rPr>
                  <w:spacing w:val="-5"/>
                  <w:sz w:val="17"/>
                </w:rPr>
                <w:t>17</w:t>
              </w:r>
            </w:hyperlink>
          </w:p>
        </w:tc>
      </w:tr>
      <w:tr>
        <w:trPr>
          <w:trHeight w:val="440" w:hRule="atLeast"/>
        </w:trPr>
        <w:tc>
          <w:tcPr>
            <w:tcW w:w="9117" w:type="dxa"/>
          </w:tcPr>
          <w:p>
            <w:pPr>
              <w:pStyle w:val="TableParagraph"/>
              <w:ind w:right="148"/>
              <w:rPr>
                <w:sz w:val="17"/>
              </w:rPr>
            </w:pPr>
            <w:hyperlink w:history="true" w:anchor="_bookmark28">
              <w:r>
                <w:rPr>
                  <w:sz w:val="17"/>
                </w:rPr>
                <w:t>Artículo</w:t>
              </w:r>
              <w:r>
                <w:rPr>
                  <w:spacing w:val="4"/>
                  <w:sz w:val="17"/>
                </w:rPr>
                <w:t> </w:t>
              </w:r>
              <w:r>
                <w:rPr>
                  <w:sz w:val="17"/>
                </w:rPr>
                <w:t>20.</w:t>
              </w:r>
              <w:r>
                <w:rPr>
                  <w:spacing w:val="5"/>
                  <w:sz w:val="17"/>
                </w:rPr>
                <w:t> </w:t>
              </w:r>
              <w:r>
                <w:rPr>
                  <w:sz w:val="17"/>
                </w:rPr>
                <w:t>Deducción</w:t>
              </w:r>
              <w:r>
                <w:rPr>
                  <w:spacing w:val="5"/>
                  <w:sz w:val="17"/>
                </w:rPr>
                <w:t> </w:t>
              </w:r>
              <w:r>
                <w:rPr>
                  <w:sz w:val="17"/>
                </w:rPr>
                <w:t>de</w:t>
              </w:r>
              <w:r>
                <w:rPr>
                  <w:spacing w:val="5"/>
                  <w:sz w:val="17"/>
                </w:rPr>
                <w:t> </w:t>
              </w:r>
              <w:r>
                <w:rPr>
                  <w:sz w:val="17"/>
                </w:rPr>
                <w:t>la</w:t>
              </w:r>
              <w:r>
                <w:rPr>
                  <w:spacing w:val="5"/>
                  <w:sz w:val="17"/>
                </w:rPr>
                <w:t> </w:t>
              </w:r>
              <w:r>
                <w:rPr>
                  <w:sz w:val="17"/>
                </w:rPr>
                <w:t>cuota</w:t>
              </w:r>
              <w:r>
                <w:rPr>
                  <w:spacing w:val="5"/>
                  <w:sz w:val="17"/>
                </w:rPr>
                <w:t> </w:t>
              </w:r>
              <w:r>
                <w:rPr>
                  <w:sz w:val="17"/>
                </w:rPr>
                <w:t>del</w:t>
              </w:r>
              <w:r>
                <w:rPr>
                  <w:spacing w:val="5"/>
                  <w:sz w:val="17"/>
                </w:rPr>
                <w:t> </w:t>
              </w:r>
              <w:r>
                <w:rPr>
                  <w:sz w:val="17"/>
                </w:rPr>
                <w:t>Impuesto</w:t>
              </w:r>
              <w:r>
                <w:rPr>
                  <w:spacing w:val="5"/>
                  <w:sz w:val="17"/>
                </w:rPr>
                <w:t> </w:t>
              </w:r>
              <w:r>
                <w:rPr>
                  <w:sz w:val="17"/>
                </w:rPr>
                <w:t>sobre</w:t>
              </w:r>
              <w:r>
                <w:rPr>
                  <w:spacing w:val="5"/>
                  <w:sz w:val="17"/>
                </w:rPr>
                <w:t> </w:t>
              </w:r>
              <w:r>
                <w:rPr>
                  <w:sz w:val="17"/>
                </w:rPr>
                <w:t>Sociedades..</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8">
              <w:r>
                <w:rPr>
                  <w:spacing w:val="-5"/>
                  <w:sz w:val="17"/>
                </w:rPr>
                <w:t>18</w:t>
              </w:r>
            </w:hyperlink>
          </w:p>
        </w:tc>
      </w:tr>
      <w:tr>
        <w:trPr>
          <w:trHeight w:val="440" w:hRule="atLeast"/>
        </w:trPr>
        <w:tc>
          <w:tcPr>
            <w:tcW w:w="9117" w:type="dxa"/>
          </w:tcPr>
          <w:p>
            <w:pPr>
              <w:pStyle w:val="TableParagraph"/>
              <w:ind w:right="149"/>
              <w:rPr>
                <w:sz w:val="17"/>
              </w:rPr>
            </w:pPr>
            <w:hyperlink w:history="true" w:anchor="_bookmark29">
              <w:r>
                <w:rPr>
                  <w:sz w:val="17"/>
                </w:rPr>
                <w:t>Artículo</w:t>
              </w:r>
              <w:r>
                <w:rPr>
                  <w:spacing w:val="4"/>
                  <w:sz w:val="17"/>
                </w:rPr>
                <w:t> </w:t>
              </w:r>
              <w:r>
                <w:rPr>
                  <w:sz w:val="17"/>
                </w:rPr>
                <w:t>21.</w:t>
              </w:r>
              <w:r>
                <w:rPr>
                  <w:spacing w:val="4"/>
                  <w:sz w:val="17"/>
                </w:rPr>
                <w:t> </w:t>
              </w:r>
              <w:r>
                <w:rPr>
                  <w:sz w:val="17"/>
                </w:rPr>
                <w:t>Deducción</w:t>
              </w:r>
              <w:r>
                <w:rPr>
                  <w:spacing w:val="4"/>
                  <w:sz w:val="17"/>
                </w:rPr>
                <w:t> </w:t>
              </w:r>
              <w:r>
                <w:rPr>
                  <w:sz w:val="17"/>
                </w:rPr>
                <w:t>de</w:t>
              </w:r>
              <w:r>
                <w:rPr>
                  <w:spacing w:val="4"/>
                  <w:sz w:val="17"/>
                </w:rPr>
                <w:t> </w:t>
              </w:r>
              <w:r>
                <w:rPr>
                  <w:sz w:val="17"/>
                </w:rPr>
                <w:t>la</w:t>
              </w:r>
              <w:r>
                <w:rPr>
                  <w:spacing w:val="4"/>
                  <w:sz w:val="17"/>
                </w:rPr>
                <w:t> </w:t>
              </w:r>
              <w:r>
                <w:rPr>
                  <w:sz w:val="17"/>
                </w:rPr>
                <w:t>cuota</w:t>
              </w:r>
              <w:r>
                <w:rPr>
                  <w:spacing w:val="4"/>
                  <w:sz w:val="17"/>
                </w:rPr>
                <w:t> </w:t>
              </w:r>
              <w:r>
                <w:rPr>
                  <w:sz w:val="17"/>
                </w:rPr>
                <w:t>del</w:t>
              </w:r>
              <w:r>
                <w:rPr>
                  <w:spacing w:val="4"/>
                  <w:sz w:val="17"/>
                </w:rPr>
                <w:t> </w:t>
              </w:r>
              <w:r>
                <w:rPr>
                  <w:sz w:val="17"/>
                </w:rPr>
                <w:t>Impuesto</w:t>
              </w:r>
              <w:r>
                <w:rPr>
                  <w:spacing w:val="4"/>
                  <w:sz w:val="17"/>
                </w:rPr>
                <w:t> </w:t>
              </w:r>
              <w:r>
                <w:rPr>
                  <w:sz w:val="17"/>
                </w:rPr>
                <w:t>sobre</w:t>
              </w:r>
              <w:r>
                <w:rPr>
                  <w:spacing w:val="4"/>
                  <w:sz w:val="17"/>
                </w:rPr>
                <w:t> </w:t>
              </w:r>
              <w:r>
                <w:rPr>
                  <w:sz w:val="17"/>
                </w:rPr>
                <w:t>la</w:t>
              </w:r>
              <w:r>
                <w:rPr>
                  <w:spacing w:val="4"/>
                  <w:sz w:val="17"/>
                </w:rPr>
                <w:t> </w:t>
              </w:r>
              <w:r>
                <w:rPr>
                  <w:sz w:val="17"/>
                </w:rPr>
                <w:t>Renta</w:t>
              </w:r>
              <w:r>
                <w:rPr>
                  <w:spacing w:val="4"/>
                  <w:sz w:val="17"/>
                </w:rPr>
                <w:t> </w:t>
              </w:r>
              <w:r>
                <w:rPr>
                  <w:sz w:val="17"/>
                </w:rPr>
                <w:t>de</w:t>
              </w:r>
              <w:r>
                <w:rPr>
                  <w:spacing w:val="4"/>
                  <w:sz w:val="17"/>
                </w:rPr>
                <w:t> </w:t>
              </w:r>
              <w:r>
                <w:rPr>
                  <w:sz w:val="17"/>
                </w:rPr>
                <w:t>no</w:t>
              </w:r>
              <w:r>
                <w:rPr>
                  <w:spacing w:val="4"/>
                  <w:sz w:val="17"/>
                </w:rPr>
                <w:t> </w:t>
              </w:r>
              <w:r>
                <w:rPr>
                  <w:sz w:val="17"/>
                </w:rPr>
                <w:t>Residentes.</w:t>
              </w:r>
              <w:r>
                <w:rPr>
                  <w:spacing w:val="31"/>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29">
              <w:r>
                <w:rPr>
                  <w:spacing w:val="-5"/>
                  <w:sz w:val="17"/>
                </w:rPr>
                <w:t>18</w:t>
              </w:r>
            </w:hyperlink>
          </w:p>
        </w:tc>
      </w:tr>
      <w:tr>
        <w:trPr>
          <w:trHeight w:val="440" w:hRule="atLeast"/>
        </w:trPr>
        <w:tc>
          <w:tcPr>
            <w:tcW w:w="9117" w:type="dxa"/>
          </w:tcPr>
          <w:p>
            <w:pPr>
              <w:pStyle w:val="TableParagraph"/>
              <w:ind w:right="148"/>
              <w:rPr>
                <w:sz w:val="17"/>
              </w:rPr>
            </w:pPr>
            <w:hyperlink w:history="true" w:anchor="_bookmark30">
              <w:r>
                <w:rPr>
                  <w:sz w:val="17"/>
                </w:rPr>
                <w:t>Artículo</w:t>
              </w:r>
              <w:r>
                <w:rPr>
                  <w:spacing w:val="3"/>
                  <w:sz w:val="17"/>
                </w:rPr>
                <w:t> </w:t>
              </w:r>
              <w:r>
                <w:rPr>
                  <w:sz w:val="17"/>
                </w:rPr>
                <w:t>22.</w:t>
              </w:r>
              <w:r>
                <w:rPr>
                  <w:spacing w:val="3"/>
                  <w:sz w:val="17"/>
                </w:rPr>
                <w:t> </w:t>
              </w:r>
              <w:r>
                <w:rPr>
                  <w:sz w:val="17"/>
                </w:rPr>
                <w:t>Actividades</w:t>
              </w:r>
              <w:r>
                <w:rPr>
                  <w:spacing w:val="4"/>
                  <w:sz w:val="17"/>
                </w:rPr>
                <w:t> </w:t>
              </w:r>
              <w:r>
                <w:rPr>
                  <w:sz w:val="17"/>
                </w:rPr>
                <w:t>prioritarias</w:t>
              </w:r>
              <w:r>
                <w:rPr>
                  <w:spacing w:val="3"/>
                  <w:sz w:val="17"/>
                </w:rPr>
                <w:t> </w:t>
              </w:r>
              <w:r>
                <w:rPr>
                  <w:sz w:val="17"/>
                </w:rPr>
                <w:t>de</w:t>
              </w:r>
              <w:r>
                <w:rPr>
                  <w:spacing w:val="4"/>
                  <w:sz w:val="17"/>
                </w:rPr>
                <w:t> </w:t>
              </w:r>
              <w:r>
                <w:rPr>
                  <w:sz w:val="17"/>
                </w:rPr>
                <w:t>mecenazgo.</w:t>
              </w:r>
              <w:r>
                <w:rPr>
                  <w:spacing w:val="5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30">
              <w:r>
                <w:rPr>
                  <w:spacing w:val="-5"/>
                  <w:sz w:val="17"/>
                </w:rPr>
                <w:t>18</w:t>
              </w:r>
            </w:hyperlink>
          </w:p>
        </w:tc>
      </w:tr>
      <w:tr>
        <w:trPr>
          <w:trHeight w:val="440" w:hRule="atLeast"/>
        </w:trPr>
        <w:tc>
          <w:tcPr>
            <w:tcW w:w="9117" w:type="dxa"/>
          </w:tcPr>
          <w:p>
            <w:pPr>
              <w:pStyle w:val="TableParagraph"/>
              <w:ind w:right="149"/>
              <w:rPr>
                <w:sz w:val="17"/>
              </w:rPr>
            </w:pPr>
            <w:hyperlink w:history="true" w:anchor="_bookmark31">
              <w:r>
                <w:rPr>
                  <w:sz w:val="17"/>
                </w:rPr>
                <w:t>Artículo</w:t>
              </w:r>
              <w:r>
                <w:rPr>
                  <w:spacing w:val="8"/>
                  <w:sz w:val="17"/>
                </w:rPr>
                <w:t> </w:t>
              </w:r>
              <w:r>
                <w:rPr>
                  <w:sz w:val="17"/>
                </w:rPr>
                <w:t>23.</w:t>
              </w:r>
              <w:r>
                <w:rPr>
                  <w:spacing w:val="8"/>
                  <w:sz w:val="17"/>
                </w:rPr>
                <w:t> </w:t>
              </w:r>
              <w:r>
                <w:rPr>
                  <w:sz w:val="17"/>
                </w:rPr>
                <w:t>Exención</w:t>
              </w:r>
              <w:r>
                <w:rPr>
                  <w:spacing w:val="9"/>
                  <w:sz w:val="17"/>
                </w:rPr>
                <w:t> </w:t>
              </w:r>
              <w:r>
                <w:rPr>
                  <w:sz w:val="17"/>
                </w:rPr>
                <w:t>de</w:t>
              </w:r>
              <w:r>
                <w:rPr>
                  <w:spacing w:val="8"/>
                  <w:sz w:val="17"/>
                </w:rPr>
                <w:t> </w:t>
              </w:r>
              <w:r>
                <w:rPr>
                  <w:sz w:val="17"/>
                </w:rPr>
                <w:t>las</w:t>
              </w:r>
              <w:r>
                <w:rPr>
                  <w:spacing w:val="8"/>
                  <w:sz w:val="17"/>
                </w:rPr>
                <w:t> </w:t>
              </w:r>
              <w:r>
                <w:rPr>
                  <w:sz w:val="17"/>
                </w:rPr>
                <w:t>rentas</w:t>
              </w:r>
              <w:r>
                <w:rPr>
                  <w:spacing w:val="9"/>
                  <w:sz w:val="17"/>
                </w:rPr>
                <w:t> </w:t>
              </w:r>
              <w:r>
                <w:rPr>
                  <w:sz w:val="17"/>
                </w:rPr>
                <w:t>derivadas</w:t>
              </w:r>
              <w:r>
                <w:rPr>
                  <w:spacing w:val="8"/>
                  <w:sz w:val="17"/>
                </w:rPr>
                <w:t> </w:t>
              </w:r>
              <w:r>
                <w:rPr>
                  <w:sz w:val="17"/>
                </w:rPr>
                <w:t>de</w:t>
              </w:r>
              <w:r>
                <w:rPr>
                  <w:spacing w:val="8"/>
                  <w:sz w:val="17"/>
                </w:rPr>
                <w:t> </w:t>
              </w:r>
              <w:r>
                <w:rPr>
                  <w:sz w:val="17"/>
                </w:rPr>
                <w:t>donativos,</w:t>
              </w:r>
              <w:r>
                <w:rPr>
                  <w:spacing w:val="9"/>
                  <w:sz w:val="17"/>
                </w:rPr>
                <w:t> </w:t>
              </w:r>
              <w:r>
                <w:rPr>
                  <w:sz w:val="17"/>
                </w:rPr>
                <w:t>donaciones</w:t>
              </w:r>
              <w:r>
                <w:rPr>
                  <w:spacing w:val="8"/>
                  <w:sz w:val="17"/>
                </w:rPr>
                <w:t> </w:t>
              </w:r>
              <w:r>
                <w:rPr>
                  <w:sz w:val="17"/>
                </w:rPr>
                <w:t>y</w:t>
              </w:r>
              <w:r>
                <w:rPr>
                  <w:spacing w:val="8"/>
                  <w:sz w:val="17"/>
                </w:rPr>
                <w:t> </w:t>
              </w:r>
              <w:r>
                <w:rPr>
                  <w:sz w:val="17"/>
                </w:rPr>
                <w:t>aportaciones..</w:t>
              </w:r>
              <w:r>
                <w:rPr>
                  <w:spacing w:val="8"/>
                  <w:sz w:val="17"/>
                </w:rPr>
                <w:t> </w:t>
              </w:r>
              <w:r>
                <w:rPr>
                  <w:spacing w:val="24"/>
                  <w:sz w:val="17"/>
                </w:rPr>
                <w:t>.</w:t>
              </w:r>
              <w:r>
                <w:rPr>
                  <w:spacing w:val="7"/>
                  <w:sz w:val="17"/>
                </w:rPr>
                <w:t> </w:t>
              </w:r>
              <w:r>
                <w:rPr>
                  <w:spacing w:val="24"/>
                  <w:sz w:val="17"/>
                </w:rPr>
                <w:t>.</w:t>
              </w:r>
              <w:r>
                <w:rPr>
                  <w:spacing w:val="7"/>
                  <w:sz w:val="17"/>
                </w:rPr>
                <w:t> </w:t>
              </w:r>
              <w:r>
                <w:rPr>
                  <w:spacing w:val="24"/>
                  <w:sz w:val="17"/>
                </w:rPr>
                <w:t>.</w:t>
              </w:r>
              <w:r>
                <w:rPr>
                  <w:spacing w:val="7"/>
                  <w:sz w:val="17"/>
                </w:rPr>
                <w:t> </w:t>
              </w:r>
              <w:r>
                <w:rPr>
                  <w:spacing w:val="24"/>
                  <w:sz w:val="17"/>
                </w:rPr>
                <w:t>.</w:t>
              </w:r>
              <w:r>
                <w:rPr>
                  <w:spacing w:val="7"/>
                  <w:sz w:val="17"/>
                </w:rPr>
                <w:t> </w:t>
              </w:r>
              <w:r>
                <w:rPr>
                  <w:spacing w:val="24"/>
                  <w:sz w:val="17"/>
                </w:rPr>
                <w:t>.</w:t>
              </w:r>
              <w:r>
                <w:rPr>
                  <w:spacing w:val="8"/>
                  <w:sz w:val="17"/>
                </w:rPr>
                <w:t> </w:t>
              </w:r>
              <w:r>
                <w:rPr>
                  <w:spacing w:val="24"/>
                  <w:sz w:val="17"/>
                </w:rPr>
                <w:t>.</w:t>
              </w:r>
              <w:r>
                <w:rPr>
                  <w:spacing w:val="7"/>
                  <w:sz w:val="17"/>
                </w:rPr>
                <w:t> </w:t>
              </w:r>
              <w:r>
                <w:rPr>
                  <w:spacing w:val="24"/>
                  <w:sz w:val="17"/>
                </w:rPr>
                <w:t>.</w:t>
              </w:r>
              <w:r>
                <w:rPr>
                  <w:spacing w:val="7"/>
                  <w:sz w:val="17"/>
                </w:rPr>
                <w:t> </w:t>
              </w:r>
              <w:r>
                <w:rPr>
                  <w:spacing w:val="24"/>
                  <w:sz w:val="17"/>
                </w:rPr>
                <w:t>.</w:t>
              </w:r>
              <w:r>
                <w:rPr>
                  <w:spacing w:val="7"/>
                  <w:sz w:val="17"/>
                </w:rPr>
                <w:t> </w:t>
              </w:r>
              <w:r>
                <w:rPr>
                  <w:spacing w:val="24"/>
                  <w:sz w:val="17"/>
                </w:rPr>
                <w:t>.</w:t>
              </w:r>
              <w:r>
                <w:rPr>
                  <w:spacing w:val="7"/>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31">
              <w:r>
                <w:rPr>
                  <w:spacing w:val="-5"/>
                  <w:sz w:val="17"/>
                </w:rPr>
                <w:t>18</w:t>
              </w:r>
            </w:hyperlink>
          </w:p>
        </w:tc>
      </w:tr>
      <w:tr>
        <w:trPr>
          <w:trHeight w:val="440" w:hRule="atLeast"/>
        </w:trPr>
        <w:tc>
          <w:tcPr>
            <w:tcW w:w="9117" w:type="dxa"/>
          </w:tcPr>
          <w:p>
            <w:pPr>
              <w:pStyle w:val="TableParagraph"/>
              <w:ind w:right="149"/>
              <w:rPr>
                <w:sz w:val="17"/>
              </w:rPr>
            </w:pPr>
            <w:hyperlink w:history="true" w:anchor="_bookmark32">
              <w:r>
                <w:rPr>
                  <w:sz w:val="17"/>
                </w:rPr>
                <w:t>Artículo</w:t>
              </w:r>
              <w:r>
                <w:rPr>
                  <w:spacing w:val="6"/>
                  <w:sz w:val="17"/>
                </w:rPr>
                <w:t> </w:t>
              </w:r>
              <w:r>
                <w:rPr>
                  <w:sz w:val="17"/>
                </w:rPr>
                <w:t>24.</w:t>
              </w:r>
              <w:r>
                <w:rPr>
                  <w:spacing w:val="7"/>
                  <w:sz w:val="17"/>
                </w:rPr>
                <w:t> </w:t>
              </w:r>
              <w:r>
                <w:rPr>
                  <w:sz w:val="17"/>
                </w:rPr>
                <w:t>Justificación</w:t>
              </w:r>
              <w:r>
                <w:rPr>
                  <w:spacing w:val="7"/>
                  <w:sz w:val="17"/>
                </w:rPr>
                <w:t> </w:t>
              </w:r>
              <w:r>
                <w:rPr>
                  <w:sz w:val="17"/>
                </w:rPr>
                <w:t>de</w:t>
              </w:r>
              <w:r>
                <w:rPr>
                  <w:spacing w:val="7"/>
                  <w:sz w:val="17"/>
                </w:rPr>
                <w:t> </w:t>
              </w:r>
              <w:r>
                <w:rPr>
                  <w:sz w:val="17"/>
                </w:rPr>
                <w:t>los</w:t>
              </w:r>
              <w:r>
                <w:rPr>
                  <w:spacing w:val="7"/>
                  <w:sz w:val="17"/>
                </w:rPr>
                <w:t> </w:t>
              </w:r>
              <w:r>
                <w:rPr>
                  <w:sz w:val="17"/>
                </w:rPr>
                <w:t>donativos,</w:t>
              </w:r>
              <w:r>
                <w:rPr>
                  <w:spacing w:val="6"/>
                  <w:sz w:val="17"/>
                </w:rPr>
                <w:t> </w:t>
              </w:r>
              <w:r>
                <w:rPr>
                  <w:sz w:val="17"/>
                </w:rPr>
                <w:t>donaciones</w:t>
              </w:r>
              <w:r>
                <w:rPr>
                  <w:spacing w:val="7"/>
                  <w:sz w:val="17"/>
                </w:rPr>
                <w:t> </w:t>
              </w:r>
              <w:r>
                <w:rPr>
                  <w:sz w:val="17"/>
                </w:rPr>
                <w:t>y</w:t>
              </w:r>
              <w:r>
                <w:rPr>
                  <w:spacing w:val="7"/>
                  <w:sz w:val="17"/>
                </w:rPr>
                <w:t> </w:t>
              </w:r>
              <w:r>
                <w:rPr>
                  <w:sz w:val="17"/>
                </w:rPr>
                <w:t>aportaciones</w:t>
              </w:r>
              <w:r>
                <w:rPr>
                  <w:spacing w:val="7"/>
                  <w:sz w:val="17"/>
                </w:rPr>
                <w:t> </w:t>
              </w:r>
              <w:r>
                <w:rPr>
                  <w:sz w:val="17"/>
                </w:rPr>
                <w:t>deducibles..</w:t>
              </w:r>
              <w:r>
                <w:rPr>
                  <w:spacing w:val="6"/>
                  <w:sz w:val="17"/>
                </w:rPr>
                <w:t> </w:t>
              </w:r>
              <w:r>
                <w:rPr>
                  <w:spacing w:val="24"/>
                  <w:sz w:val="17"/>
                </w:rPr>
                <w:t>.</w:t>
              </w:r>
              <w:r>
                <w:rPr>
                  <w:spacing w:val="5"/>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5"/>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5"/>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5"/>
                  <w:sz w:val="17"/>
                </w:rPr>
                <w:t> </w:t>
              </w:r>
              <w:r>
                <w:rPr>
                  <w:spacing w:val="24"/>
                  <w:sz w:val="17"/>
                </w:rPr>
                <w:t>.</w:t>
              </w:r>
              <w:r>
                <w:rPr>
                  <w:spacing w:val="6"/>
                  <w:sz w:val="17"/>
                </w:rPr>
                <w:t> </w:t>
              </w:r>
              <w:r>
                <w:rPr>
                  <w:spacing w:val="24"/>
                  <w:sz w:val="17"/>
                </w:rPr>
                <w:t>.</w:t>
              </w:r>
              <w:r>
                <w:rPr>
                  <w:spacing w:val="6"/>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32">
              <w:r>
                <w:rPr>
                  <w:spacing w:val="-5"/>
                  <w:sz w:val="17"/>
                </w:rPr>
                <w:t>19</w:t>
              </w:r>
            </w:hyperlink>
          </w:p>
        </w:tc>
      </w:tr>
      <w:tr>
        <w:trPr>
          <w:trHeight w:val="440" w:hRule="atLeast"/>
        </w:trPr>
        <w:tc>
          <w:tcPr>
            <w:tcW w:w="9117" w:type="dxa"/>
          </w:tcPr>
          <w:p>
            <w:pPr>
              <w:pStyle w:val="TableParagraph"/>
              <w:ind w:right="148"/>
              <w:rPr>
                <w:sz w:val="17"/>
              </w:rPr>
            </w:pPr>
            <w:hyperlink w:history="true" w:anchor="_bookmark33">
              <w:r>
                <w:rPr>
                  <w:sz w:val="17"/>
                </w:rPr>
                <w:t>CAPÍTULO</w:t>
              </w:r>
              <w:r>
                <w:rPr>
                  <w:spacing w:val="3"/>
                  <w:sz w:val="17"/>
                </w:rPr>
                <w:t> </w:t>
              </w:r>
              <w:r>
                <w:rPr>
                  <w:sz w:val="17"/>
                </w:rPr>
                <w:t>III.</w:t>
              </w:r>
              <w:r>
                <w:rPr>
                  <w:spacing w:val="3"/>
                  <w:sz w:val="17"/>
                </w:rPr>
                <w:t> </w:t>
              </w:r>
              <w:r>
                <w:rPr>
                  <w:sz w:val="17"/>
                </w:rPr>
                <w:t>Régimen</w:t>
              </w:r>
              <w:r>
                <w:rPr>
                  <w:spacing w:val="3"/>
                  <w:sz w:val="17"/>
                </w:rPr>
                <w:t> </w:t>
              </w:r>
              <w:r>
                <w:rPr>
                  <w:sz w:val="17"/>
                </w:rPr>
                <w:t>fiscal</w:t>
              </w:r>
              <w:r>
                <w:rPr>
                  <w:spacing w:val="4"/>
                  <w:sz w:val="17"/>
                </w:rPr>
                <w:t> </w:t>
              </w:r>
              <w:r>
                <w:rPr>
                  <w:sz w:val="17"/>
                </w:rPr>
                <w:t>de</w:t>
              </w:r>
              <w:r>
                <w:rPr>
                  <w:spacing w:val="3"/>
                  <w:sz w:val="17"/>
                </w:rPr>
                <w:t> </w:t>
              </w:r>
              <w:r>
                <w:rPr>
                  <w:sz w:val="17"/>
                </w:rPr>
                <w:t>otras</w:t>
              </w:r>
              <w:r>
                <w:rPr>
                  <w:spacing w:val="3"/>
                  <w:sz w:val="17"/>
                </w:rPr>
                <w:t> </w:t>
              </w:r>
              <w:r>
                <w:rPr>
                  <w:sz w:val="17"/>
                </w:rPr>
                <w:t>formas</w:t>
              </w:r>
              <w:r>
                <w:rPr>
                  <w:spacing w:val="4"/>
                  <w:sz w:val="17"/>
                </w:rPr>
                <w:t> </w:t>
              </w:r>
              <w:r>
                <w:rPr>
                  <w:sz w:val="17"/>
                </w:rPr>
                <w:t>de</w:t>
              </w:r>
              <w:r>
                <w:rPr>
                  <w:spacing w:val="3"/>
                  <w:sz w:val="17"/>
                </w:rPr>
                <w:t> </w:t>
              </w:r>
              <w:r>
                <w:rPr>
                  <w:sz w:val="17"/>
                </w:rPr>
                <w:t>mecenazgo</w:t>
              </w:r>
              <w:r>
                <w:rPr>
                  <w:spacing w:val="57"/>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33">
              <w:r>
                <w:rPr>
                  <w:spacing w:val="-5"/>
                  <w:sz w:val="17"/>
                </w:rPr>
                <w:t>19</w:t>
              </w:r>
            </w:hyperlink>
          </w:p>
        </w:tc>
      </w:tr>
      <w:tr>
        <w:trPr>
          <w:trHeight w:val="440" w:hRule="atLeast"/>
        </w:trPr>
        <w:tc>
          <w:tcPr>
            <w:tcW w:w="9117" w:type="dxa"/>
          </w:tcPr>
          <w:p>
            <w:pPr>
              <w:pStyle w:val="TableParagraph"/>
              <w:ind w:right="149"/>
              <w:rPr>
                <w:sz w:val="17"/>
              </w:rPr>
            </w:pPr>
            <w:hyperlink w:history="true" w:anchor="_bookmark34">
              <w:r>
                <w:rPr>
                  <w:sz w:val="17"/>
                </w:rPr>
                <w:t>Artículo</w:t>
              </w:r>
              <w:r>
                <w:rPr>
                  <w:spacing w:val="7"/>
                  <w:sz w:val="17"/>
                </w:rPr>
                <w:t> </w:t>
              </w:r>
              <w:r>
                <w:rPr>
                  <w:sz w:val="17"/>
                </w:rPr>
                <w:t>25.</w:t>
              </w:r>
              <w:r>
                <w:rPr>
                  <w:spacing w:val="7"/>
                  <w:sz w:val="17"/>
                </w:rPr>
                <w:t> </w:t>
              </w:r>
              <w:r>
                <w:rPr>
                  <w:sz w:val="17"/>
                </w:rPr>
                <w:t>Convenios</w:t>
              </w:r>
              <w:r>
                <w:rPr>
                  <w:spacing w:val="7"/>
                  <w:sz w:val="17"/>
                </w:rPr>
                <w:t> </w:t>
              </w:r>
              <w:r>
                <w:rPr>
                  <w:sz w:val="17"/>
                </w:rPr>
                <w:t>de</w:t>
              </w:r>
              <w:r>
                <w:rPr>
                  <w:spacing w:val="7"/>
                  <w:sz w:val="17"/>
                </w:rPr>
                <w:t> </w:t>
              </w:r>
              <w:r>
                <w:rPr>
                  <w:sz w:val="17"/>
                </w:rPr>
                <w:t>colaboración</w:t>
              </w:r>
              <w:r>
                <w:rPr>
                  <w:spacing w:val="7"/>
                  <w:sz w:val="17"/>
                </w:rPr>
                <w:t> </w:t>
              </w:r>
              <w:r>
                <w:rPr>
                  <w:sz w:val="17"/>
                </w:rPr>
                <w:t>empresarial</w:t>
              </w:r>
              <w:r>
                <w:rPr>
                  <w:spacing w:val="7"/>
                  <w:sz w:val="17"/>
                </w:rPr>
                <w:t> </w:t>
              </w:r>
              <w:r>
                <w:rPr>
                  <w:sz w:val="17"/>
                </w:rPr>
                <w:t>en</w:t>
              </w:r>
              <w:r>
                <w:rPr>
                  <w:spacing w:val="7"/>
                  <w:sz w:val="17"/>
                </w:rPr>
                <w:t> </w:t>
              </w:r>
              <w:r>
                <w:rPr>
                  <w:sz w:val="17"/>
                </w:rPr>
                <w:t>actividades</w:t>
              </w:r>
              <w:r>
                <w:rPr>
                  <w:spacing w:val="7"/>
                  <w:sz w:val="17"/>
                </w:rPr>
                <w:t> </w:t>
              </w:r>
              <w:r>
                <w:rPr>
                  <w:sz w:val="17"/>
                </w:rPr>
                <w:t>de</w:t>
              </w:r>
              <w:r>
                <w:rPr>
                  <w:spacing w:val="7"/>
                  <w:sz w:val="17"/>
                </w:rPr>
                <w:t> </w:t>
              </w:r>
              <w:r>
                <w:rPr>
                  <w:sz w:val="17"/>
                </w:rPr>
                <w:t>interés</w:t>
              </w:r>
              <w:r>
                <w:rPr>
                  <w:spacing w:val="7"/>
                  <w:sz w:val="17"/>
                </w:rPr>
                <w:t> </w:t>
              </w:r>
              <w:r>
                <w:rPr>
                  <w:sz w:val="17"/>
                </w:rPr>
                <w:t>general..</w:t>
              </w:r>
              <w:r>
                <w:rPr>
                  <w:spacing w:val="6"/>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5"/>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6"/>
                  <w:sz w:val="17"/>
                </w:rPr>
                <w:t> </w:t>
              </w:r>
              <w:r>
                <w:rPr>
                  <w:spacing w:val="24"/>
                  <w:sz w:val="17"/>
                </w:rPr>
                <w:t>.</w:t>
              </w:r>
              <w:r>
                <w:rPr>
                  <w:spacing w:val="6"/>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34">
              <w:r>
                <w:rPr>
                  <w:spacing w:val="-5"/>
                  <w:sz w:val="17"/>
                </w:rPr>
                <w:t>19</w:t>
              </w:r>
            </w:hyperlink>
          </w:p>
        </w:tc>
      </w:tr>
      <w:tr>
        <w:trPr>
          <w:trHeight w:val="440" w:hRule="atLeast"/>
        </w:trPr>
        <w:tc>
          <w:tcPr>
            <w:tcW w:w="9117" w:type="dxa"/>
          </w:tcPr>
          <w:p>
            <w:pPr>
              <w:pStyle w:val="TableParagraph"/>
              <w:ind w:right="148"/>
              <w:rPr>
                <w:sz w:val="17"/>
              </w:rPr>
            </w:pPr>
            <w:hyperlink w:history="true" w:anchor="_bookmark35">
              <w:r>
                <w:rPr>
                  <w:sz w:val="17"/>
                </w:rPr>
                <w:t>Artículo</w:t>
              </w:r>
              <w:r>
                <w:rPr>
                  <w:spacing w:val="4"/>
                  <w:sz w:val="17"/>
                </w:rPr>
                <w:t> </w:t>
              </w:r>
              <w:r>
                <w:rPr>
                  <w:sz w:val="17"/>
                </w:rPr>
                <w:t>26.</w:t>
              </w:r>
              <w:r>
                <w:rPr>
                  <w:spacing w:val="4"/>
                  <w:sz w:val="17"/>
                </w:rPr>
                <w:t> </w:t>
              </w:r>
              <w:r>
                <w:rPr>
                  <w:sz w:val="17"/>
                </w:rPr>
                <w:t>Gastos</w:t>
              </w:r>
              <w:r>
                <w:rPr>
                  <w:spacing w:val="4"/>
                  <w:sz w:val="17"/>
                </w:rPr>
                <w:t> </w:t>
              </w:r>
              <w:r>
                <w:rPr>
                  <w:sz w:val="17"/>
                </w:rPr>
                <w:t>en</w:t>
              </w:r>
              <w:r>
                <w:rPr>
                  <w:spacing w:val="4"/>
                  <w:sz w:val="17"/>
                </w:rPr>
                <w:t> </w:t>
              </w:r>
              <w:r>
                <w:rPr>
                  <w:sz w:val="17"/>
                </w:rPr>
                <w:t>actividades</w:t>
              </w:r>
              <w:r>
                <w:rPr>
                  <w:spacing w:val="4"/>
                  <w:sz w:val="17"/>
                </w:rPr>
                <w:t> </w:t>
              </w:r>
              <w:r>
                <w:rPr>
                  <w:sz w:val="17"/>
                </w:rPr>
                <w:t>de</w:t>
              </w:r>
              <w:r>
                <w:rPr>
                  <w:spacing w:val="4"/>
                  <w:sz w:val="17"/>
                </w:rPr>
                <w:t> </w:t>
              </w:r>
              <w:r>
                <w:rPr>
                  <w:sz w:val="17"/>
                </w:rPr>
                <w:t>interés</w:t>
              </w:r>
              <w:r>
                <w:rPr>
                  <w:spacing w:val="4"/>
                  <w:sz w:val="17"/>
                </w:rPr>
                <w:t> </w:t>
              </w:r>
              <w:r>
                <w:rPr>
                  <w:sz w:val="17"/>
                </w:rPr>
                <w:t>general..</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35">
              <w:r>
                <w:rPr>
                  <w:spacing w:val="-5"/>
                  <w:sz w:val="17"/>
                </w:rPr>
                <w:t>19</w:t>
              </w:r>
            </w:hyperlink>
          </w:p>
        </w:tc>
      </w:tr>
      <w:tr>
        <w:trPr>
          <w:trHeight w:val="440" w:hRule="atLeast"/>
        </w:trPr>
        <w:tc>
          <w:tcPr>
            <w:tcW w:w="9117" w:type="dxa"/>
          </w:tcPr>
          <w:p>
            <w:pPr>
              <w:pStyle w:val="TableParagraph"/>
              <w:ind w:right="149"/>
              <w:rPr>
                <w:sz w:val="17"/>
              </w:rPr>
            </w:pPr>
            <w:hyperlink w:history="true" w:anchor="_bookmark36">
              <w:r>
                <w:rPr>
                  <w:sz w:val="17"/>
                </w:rPr>
                <w:t>Artículo</w:t>
              </w:r>
              <w:r>
                <w:rPr>
                  <w:spacing w:val="5"/>
                  <w:sz w:val="17"/>
                </w:rPr>
                <w:t> </w:t>
              </w:r>
              <w:r>
                <w:rPr>
                  <w:sz w:val="17"/>
                </w:rPr>
                <w:t>27.</w:t>
              </w:r>
              <w:r>
                <w:rPr>
                  <w:spacing w:val="5"/>
                  <w:sz w:val="17"/>
                </w:rPr>
                <w:t> </w:t>
              </w:r>
              <w:r>
                <w:rPr>
                  <w:sz w:val="17"/>
                </w:rPr>
                <w:t>Programas</w:t>
              </w:r>
              <w:r>
                <w:rPr>
                  <w:spacing w:val="6"/>
                  <w:sz w:val="17"/>
                </w:rPr>
                <w:t> </w:t>
              </w:r>
              <w:r>
                <w:rPr>
                  <w:sz w:val="17"/>
                </w:rPr>
                <w:t>de</w:t>
              </w:r>
              <w:r>
                <w:rPr>
                  <w:spacing w:val="5"/>
                  <w:sz w:val="17"/>
                </w:rPr>
                <w:t> </w:t>
              </w:r>
              <w:r>
                <w:rPr>
                  <w:sz w:val="17"/>
                </w:rPr>
                <w:t>apoyo</w:t>
              </w:r>
              <w:r>
                <w:rPr>
                  <w:spacing w:val="6"/>
                  <w:sz w:val="17"/>
                </w:rPr>
                <w:t> </w:t>
              </w:r>
              <w:r>
                <w:rPr>
                  <w:sz w:val="17"/>
                </w:rPr>
                <w:t>a</w:t>
              </w:r>
              <w:r>
                <w:rPr>
                  <w:spacing w:val="5"/>
                  <w:sz w:val="17"/>
                </w:rPr>
                <w:t> </w:t>
              </w:r>
              <w:r>
                <w:rPr>
                  <w:sz w:val="17"/>
                </w:rPr>
                <w:t>acontecimientos</w:t>
              </w:r>
              <w:r>
                <w:rPr>
                  <w:spacing w:val="5"/>
                  <w:sz w:val="17"/>
                </w:rPr>
                <w:t> </w:t>
              </w:r>
              <w:r>
                <w:rPr>
                  <w:sz w:val="17"/>
                </w:rPr>
                <w:t>de</w:t>
              </w:r>
              <w:r>
                <w:rPr>
                  <w:spacing w:val="6"/>
                  <w:sz w:val="17"/>
                </w:rPr>
                <w:t> </w:t>
              </w:r>
              <w:r>
                <w:rPr>
                  <w:sz w:val="17"/>
                </w:rPr>
                <w:t>excepcional</w:t>
              </w:r>
              <w:r>
                <w:rPr>
                  <w:spacing w:val="5"/>
                  <w:sz w:val="17"/>
                </w:rPr>
                <w:t> </w:t>
              </w:r>
              <w:r>
                <w:rPr>
                  <w:sz w:val="17"/>
                </w:rPr>
                <w:t>interés</w:t>
              </w:r>
              <w:r>
                <w:rPr>
                  <w:spacing w:val="6"/>
                  <w:sz w:val="17"/>
                </w:rPr>
                <w:t> </w:t>
              </w:r>
              <w:r>
                <w:rPr>
                  <w:sz w:val="17"/>
                </w:rPr>
                <w:t>público.</w:t>
              </w:r>
              <w:r>
                <w:rPr>
                  <w:spacing w:val="56"/>
                  <w:sz w:val="17"/>
                </w:rPr>
                <w:t> </w:t>
              </w:r>
              <w:r>
                <w:rPr>
                  <w:spacing w:val="24"/>
                  <w:sz w:val="17"/>
                </w:rPr>
                <w:t>.</w:t>
              </w:r>
              <w:r>
                <w:rPr>
                  <w:spacing w:val="5"/>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36">
              <w:r>
                <w:rPr>
                  <w:spacing w:val="-5"/>
                  <w:sz w:val="17"/>
                </w:rPr>
                <w:t>20</w:t>
              </w:r>
            </w:hyperlink>
          </w:p>
        </w:tc>
      </w:tr>
      <w:tr>
        <w:trPr>
          <w:trHeight w:val="457" w:hRule="atLeast"/>
        </w:trPr>
        <w:tc>
          <w:tcPr>
            <w:tcW w:w="9117" w:type="dxa"/>
          </w:tcPr>
          <w:p>
            <w:pPr>
              <w:pStyle w:val="TableParagraph"/>
              <w:ind w:right="147"/>
              <w:rPr>
                <w:i/>
                <w:sz w:val="17"/>
              </w:rPr>
            </w:pPr>
            <w:hyperlink w:history="true" w:anchor="_bookmark37">
              <w:r>
                <w:rPr>
                  <w:i/>
                  <w:sz w:val="17"/>
                </w:rPr>
                <w:t>Disposiciones</w:t>
              </w:r>
              <w:r>
                <w:rPr>
                  <w:i/>
                  <w:spacing w:val="2"/>
                  <w:sz w:val="17"/>
                </w:rPr>
                <w:t> </w:t>
              </w:r>
              <w:r>
                <w:rPr>
                  <w:i/>
                  <w:sz w:val="17"/>
                </w:rPr>
                <w:t>adicionales</w:t>
              </w:r>
              <w:r>
                <w:rPr>
                  <w:i/>
                  <w:spacing w:val="46"/>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10"/>
                  <w:sz w:val="17"/>
                </w:rPr>
                <w:t>.</w:t>
              </w:r>
              <w:r>
                <w:rPr>
                  <w:i/>
                  <w:sz w:val="17"/>
                </w:rPr>
                <w:t> </w:t>
              </w:r>
            </w:hyperlink>
          </w:p>
        </w:tc>
        <w:tc>
          <w:tcPr>
            <w:tcW w:w="394" w:type="dxa"/>
          </w:tcPr>
          <w:p>
            <w:pPr>
              <w:pStyle w:val="TableParagraph"/>
              <w:ind w:left="99"/>
              <w:jc w:val="center"/>
              <w:rPr>
                <w:sz w:val="17"/>
              </w:rPr>
            </w:pPr>
            <w:hyperlink w:history="true" w:anchor="_bookmark37">
              <w:r>
                <w:rPr>
                  <w:spacing w:val="-5"/>
                  <w:sz w:val="17"/>
                </w:rPr>
                <w:t>21</w:t>
              </w:r>
            </w:hyperlink>
          </w:p>
        </w:tc>
      </w:tr>
      <w:tr>
        <w:trPr>
          <w:trHeight w:val="702" w:hRule="atLeast"/>
        </w:trPr>
        <w:tc>
          <w:tcPr>
            <w:tcW w:w="9117" w:type="dxa"/>
          </w:tcPr>
          <w:p>
            <w:pPr>
              <w:pStyle w:val="TableParagraph"/>
              <w:spacing w:line="295" w:lineRule="auto" w:before="141"/>
              <w:ind w:left="1050" w:right="124" w:hanging="201"/>
              <w:jc w:val="left"/>
              <w:rPr>
                <w:sz w:val="17"/>
              </w:rPr>
            </w:pPr>
            <w:hyperlink w:history="true" w:anchor="_bookmark37">
              <w:r>
                <w:rPr>
                  <w:sz w:val="17"/>
                </w:rPr>
                <w:t>Disposición</w:t>
              </w:r>
              <w:r>
                <w:rPr>
                  <w:spacing w:val="31"/>
                  <w:sz w:val="17"/>
                </w:rPr>
                <w:t> </w:t>
              </w:r>
              <w:r>
                <w:rPr>
                  <w:sz w:val="17"/>
                </w:rPr>
                <w:t>adicional</w:t>
              </w:r>
              <w:r>
                <w:rPr>
                  <w:spacing w:val="31"/>
                  <w:sz w:val="17"/>
                </w:rPr>
                <w:t> </w:t>
              </w:r>
              <w:r>
                <w:rPr>
                  <w:sz w:val="17"/>
                </w:rPr>
                <w:t>primera.</w:t>
              </w:r>
              <w:r>
                <w:rPr>
                  <w:spacing w:val="31"/>
                  <w:sz w:val="17"/>
                </w:rPr>
                <w:t> </w:t>
              </w:r>
              <w:r>
                <w:rPr>
                  <w:sz w:val="17"/>
                </w:rPr>
                <w:t>Modificación</w:t>
              </w:r>
              <w:r>
                <w:rPr>
                  <w:spacing w:val="31"/>
                  <w:sz w:val="17"/>
                </w:rPr>
                <w:t> </w:t>
              </w:r>
              <w:r>
                <w:rPr>
                  <w:sz w:val="17"/>
                </w:rPr>
                <w:t>de</w:t>
              </w:r>
              <w:r>
                <w:rPr>
                  <w:spacing w:val="31"/>
                  <w:sz w:val="17"/>
                </w:rPr>
                <w:t> </w:t>
              </w:r>
              <w:r>
                <w:rPr>
                  <w:sz w:val="17"/>
                </w:rPr>
                <w:t>la</w:t>
              </w:r>
              <w:r>
                <w:rPr>
                  <w:spacing w:val="31"/>
                  <w:sz w:val="17"/>
                </w:rPr>
                <w:t> </w:t>
              </w:r>
              <w:r>
                <w:rPr>
                  <w:sz w:val="17"/>
                </w:rPr>
                <w:t>Ley</w:t>
              </w:r>
              <w:r>
                <w:rPr>
                  <w:spacing w:val="31"/>
                  <w:sz w:val="17"/>
                </w:rPr>
                <w:t> </w:t>
              </w:r>
              <w:r>
                <w:rPr>
                  <w:sz w:val="17"/>
                </w:rPr>
                <w:t>40/1998,</w:t>
              </w:r>
              <w:r>
                <w:rPr>
                  <w:spacing w:val="31"/>
                  <w:sz w:val="17"/>
                </w:rPr>
                <w:t> </w:t>
              </w:r>
              <w:r>
                <w:rPr>
                  <w:sz w:val="17"/>
                </w:rPr>
                <w:t>de</w:t>
              </w:r>
              <w:r>
                <w:rPr>
                  <w:spacing w:val="31"/>
                  <w:sz w:val="17"/>
                </w:rPr>
                <w:t> </w:t>
              </w:r>
              <w:r>
                <w:rPr>
                  <w:sz w:val="17"/>
                </w:rPr>
                <w:t>9</w:t>
              </w:r>
              <w:r>
                <w:rPr>
                  <w:spacing w:val="31"/>
                  <w:sz w:val="17"/>
                </w:rPr>
                <w:t> </w:t>
              </w:r>
              <w:r>
                <w:rPr>
                  <w:sz w:val="17"/>
                </w:rPr>
                <w:t>de</w:t>
              </w:r>
              <w:r>
                <w:rPr>
                  <w:spacing w:val="31"/>
                  <w:sz w:val="17"/>
                </w:rPr>
                <w:t> </w:t>
              </w:r>
              <w:r>
                <w:rPr>
                  <w:sz w:val="17"/>
                </w:rPr>
                <w:t>diciembre,</w:t>
              </w:r>
              <w:r>
                <w:rPr>
                  <w:spacing w:val="31"/>
                  <w:sz w:val="17"/>
                </w:rPr>
                <w:t> </w:t>
              </w:r>
              <w:r>
                <w:rPr>
                  <w:sz w:val="17"/>
                </w:rPr>
                <w:t>del</w:t>
              </w:r>
              <w:r>
                <w:rPr>
                  <w:spacing w:val="31"/>
                  <w:sz w:val="17"/>
                </w:rPr>
                <w:t> </w:t>
              </w:r>
              <w:r>
                <w:rPr>
                  <w:sz w:val="17"/>
                </w:rPr>
                <w:t>Impuesto</w:t>
              </w:r>
              <w:r>
                <w:rPr>
                  <w:spacing w:val="31"/>
                  <w:sz w:val="17"/>
                </w:rPr>
                <w:t> </w:t>
              </w:r>
              <w:r>
                <w:rPr>
                  <w:sz w:val="17"/>
                </w:rPr>
                <w:t>sobre</w:t>
              </w:r>
            </w:hyperlink>
            <w:r>
              <w:rPr>
                <w:sz w:val="17"/>
              </w:rPr>
              <w:t> </w:t>
            </w:r>
            <w:hyperlink w:history="true" w:anchor="_bookmark37">
              <w:r>
                <w:rPr>
                  <w:sz w:val="17"/>
                </w:rPr>
                <w:t>la Renta de las Personas Físicas y otras Normas Tributarias.</w:t>
              </w:r>
              <w:r>
                <w:rPr>
                  <w:spacing w:val="40"/>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pacing w:val="24"/>
                  <w:sz w:val="17"/>
                </w:rPr>
                <w:t>.</w:t>
              </w:r>
              <w:r>
                <w:rPr>
                  <w:spacing w:val="5"/>
                  <w:sz w:val="17"/>
                </w:rPr>
                <w:t> </w:t>
              </w:r>
              <w:r>
                <w:rPr>
                  <w:sz w:val="17"/>
                </w:rPr>
                <w:t>. </w:t>
              </w:r>
            </w:hyperlink>
          </w:p>
        </w:tc>
        <w:tc>
          <w:tcPr>
            <w:tcW w:w="394" w:type="dxa"/>
          </w:tcPr>
          <w:p>
            <w:pPr>
              <w:pStyle w:val="TableParagraph"/>
              <w:spacing w:before="190"/>
              <w:jc w:val="left"/>
              <w:rPr>
                <w:sz w:val="17"/>
              </w:rPr>
            </w:pPr>
          </w:p>
          <w:p>
            <w:pPr>
              <w:pStyle w:val="TableParagraph"/>
              <w:spacing w:before="0"/>
              <w:ind w:left="99"/>
              <w:jc w:val="center"/>
              <w:rPr>
                <w:sz w:val="17"/>
              </w:rPr>
            </w:pPr>
            <w:hyperlink w:history="true" w:anchor="_bookmark37">
              <w:r>
                <w:rPr>
                  <w:spacing w:val="-5"/>
                  <w:sz w:val="17"/>
                </w:rPr>
                <w:t>21</w:t>
              </w:r>
            </w:hyperlink>
          </w:p>
        </w:tc>
      </w:tr>
      <w:tr>
        <w:trPr>
          <w:trHeight w:val="680" w:hRule="atLeast"/>
        </w:trPr>
        <w:tc>
          <w:tcPr>
            <w:tcW w:w="9117" w:type="dxa"/>
          </w:tcPr>
          <w:p>
            <w:pPr>
              <w:pStyle w:val="TableParagraph"/>
              <w:spacing w:line="295" w:lineRule="auto"/>
              <w:ind w:left="1049" w:right="124" w:hanging="201"/>
              <w:jc w:val="left"/>
              <w:rPr>
                <w:sz w:val="17"/>
              </w:rPr>
            </w:pPr>
            <w:hyperlink w:history="true" w:anchor="_bookmark38">
              <w:r>
                <w:rPr>
                  <w:sz w:val="17"/>
                </w:rPr>
                <w:t>Disposición adicional segunda. Modificación de la Ley 43/1995, de 27 de diciembre, del Impuesto sobre</w:t>
              </w:r>
            </w:hyperlink>
            <w:r>
              <w:rPr>
                <w:sz w:val="17"/>
              </w:rPr>
              <w:t> </w:t>
            </w:r>
            <w:hyperlink w:history="true" w:anchor="_bookmark38">
              <w:r>
                <w:rPr>
                  <w:sz w:val="17"/>
                </w:rPr>
                <w:t>Sociedades.</w:t>
              </w:r>
              <w:r>
                <w:rPr>
                  <w:spacing w:val="70"/>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z w:val="17"/>
                </w:rPr>
                <w:t>. </w:t>
              </w:r>
            </w:hyperlink>
          </w:p>
        </w:tc>
        <w:tc>
          <w:tcPr>
            <w:tcW w:w="394" w:type="dxa"/>
          </w:tcPr>
          <w:p>
            <w:pPr>
              <w:pStyle w:val="TableParagraph"/>
              <w:spacing w:before="168"/>
              <w:jc w:val="left"/>
              <w:rPr>
                <w:sz w:val="17"/>
              </w:rPr>
            </w:pPr>
          </w:p>
          <w:p>
            <w:pPr>
              <w:pStyle w:val="TableParagraph"/>
              <w:spacing w:before="0"/>
              <w:ind w:left="99"/>
              <w:jc w:val="center"/>
              <w:rPr>
                <w:sz w:val="17"/>
              </w:rPr>
            </w:pPr>
            <w:hyperlink w:history="true" w:anchor="_bookmark38">
              <w:r>
                <w:rPr>
                  <w:spacing w:val="-5"/>
                  <w:sz w:val="17"/>
                </w:rPr>
                <w:t>22</w:t>
              </w:r>
            </w:hyperlink>
          </w:p>
        </w:tc>
      </w:tr>
      <w:tr>
        <w:trPr>
          <w:trHeight w:val="920" w:hRule="atLeast"/>
        </w:trPr>
        <w:tc>
          <w:tcPr>
            <w:tcW w:w="9117" w:type="dxa"/>
          </w:tcPr>
          <w:p>
            <w:pPr>
              <w:pStyle w:val="TableParagraph"/>
              <w:spacing w:line="295" w:lineRule="auto"/>
              <w:ind w:left="1049" w:right="148" w:hanging="201"/>
              <w:jc w:val="both"/>
              <w:rPr>
                <w:sz w:val="17"/>
              </w:rPr>
            </w:pPr>
            <w:hyperlink w:history="true" w:anchor="_bookmark39">
              <w:r>
                <w:rPr>
                  <w:sz w:val="17"/>
                </w:rPr>
                <w:t>Disposición</w:t>
              </w:r>
              <w:r>
                <w:rPr>
                  <w:spacing w:val="40"/>
                  <w:sz w:val="17"/>
                </w:rPr>
                <w:t> </w:t>
              </w:r>
              <w:r>
                <w:rPr>
                  <w:sz w:val="17"/>
                </w:rPr>
                <w:t>adicional</w:t>
              </w:r>
              <w:r>
                <w:rPr>
                  <w:spacing w:val="40"/>
                  <w:sz w:val="17"/>
                </w:rPr>
                <w:t> </w:t>
              </w:r>
              <w:r>
                <w:rPr>
                  <w:sz w:val="17"/>
                </w:rPr>
                <w:t>tercera.</w:t>
              </w:r>
              <w:r>
                <w:rPr>
                  <w:spacing w:val="40"/>
                  <w:sz w:val="17"/>
                </w:rPr>
                <w:t> </w:t>
              </w:r>
              <w:r>
                <w:rPr>
                  <w:sz w:val="17"/>
                </w:rPr>
                <w:t>Modificación</w:t>
              </w:r>
              <w:r>
                <w:rPr>
                  <w:spacing w:val="40"/>
                  <w:sz w:val="17"/>
                </w:rPr>
                <w:t> </w:t>
              </w:r>
              <w:r>
                <w:rPr>
                  <w:sz w:val="17"/>
                </w:rPr>
                <w:t>del</w:t>
              </w:r>
              <w:r>
                <w:rPr>
                  <w:spacing w:val="40"/>
                  <w:sz w:val="17"/>
                </w:rPr>
                <w:t> </w:t>
              </w:r>
              <w:r>
                <w:rPr>
                  <w:sz w:val="17"/>
                </w:rPr>
                <w:t>Real</w:t>
              </w:r>
              <w:r>
                <w:rPr>
                  <w:spacing w:val="40"/>
                  <w:sz w:val="17"/>
                </w:rPr>
                <w:t> </w:t>
              </w:r>
              <w:r>
                <w:rPr>
                  <w:sz w:val="17"/>
                </w:rPr>
                <w:t>Decreto</w:t>
              </w:r>
              <w:r>
                <w:rPr>
                  <w:spacing w:val="40"/>
                  <w:sz w:val="17"/>
                </w:rPr>
                <w:t> </w:t>
              </w:r>
              <w:r>
                <w:rPr>
                  <w:sz w:val="17"/>
                </w:rPr>
                <w:t>legislativo</w:t>
              </w:r>
              <w:r>
                <w:rPr>
                  <w:spacing w:val="40"/>
                  <w:sz w:val="17"/>
                </w:rPr>
                <w:t> </w:t>
              </w:r>
              <w:r>
                <w:rPr>
                  <w:sz w:val="17"/>
                </w:rPr>
                <w:t>1/1993,</w:t>
              </w:r>
              <w:r>
                <w:rPr>
                  <w:spacing w:val="40"/>
                  <w:sz w:val="17"/>
                </w:rPr>
                <w:t> </w:t>
              </w:r>
              <w:r>
                <w:rPr>
                  <w:sz w:val="17"/>
                </w:rPr>
                <w:t>de</w:t>
              </w:r>
              <w:r>
                <w:rPr>
                  <w:spacing w:val="40"/>
                  <w:sz w:val="17"/>
                </w:rPr>
                <w:t> </w:t>
              </w:r>
              <w:r>
                <w:rPr>
                  <w:sz w:val="17"/>
                </w:rPr>
                <w:t>24</w:t>
              </w:r>
              <w:r>
                <w:rPr>
                  <w:spacing w:val="40"/>
                  <w:sz w:val="17"/>
                </w:rPr>
                <w:t> </w:t>
              </w:r>
              <w:r>
                <w:rPr>
                  <w:sz w:val="17"/>
                </w:rPr>
                <w:t>de</w:t>
              </w:r>
              <w:r>
                <w:rPr>
                  <w:spacing w:val="40"/>
                  <w:sz w:val="17"/>
                </w:rPr>
                <w:t> </w:t>
              </w:r>
              <w:r>
                <w:rPr>
                  <w:sz w:val="17"/>
                </w:rPr>
                <w:t>septiembre,</w:t>
              </w:r>
            </w:hyperlink>
            <w:r>
              <w:rPr>
                <w:sz w:val="17"/>
              </w:rPr>
              <w:t> </w:t>
            </w:r>
            <w:hyperlink w:history="true" w:anchor="_bookmark39">
              <w:r>
                <w:rPr>
                  <w:sz w:val="17"/>
                </w:rPr>
                <w:t>por el que se aprueba el texto refundido de la Ley del Impuesto sobre Transmisiones Patrimoniales y</w:t>
              </w:r>
            </w:hyperlink>
            <w:r>
              <w:rPr>
                <w:sz w:val="17"/>
              </w:rPr>
              <w:t> </w:t>
            </w:r>
            <w:hyperlink w:history="true" w:anchor="_bookmark39">
              <w:r>
                <w:rPr>
                  <w:sz w:val="17"/>
                </w:rPr>
                <w:t>Actos Jurídicos Documentados.</w:t>
              </w:r>
              <w:r>
                <w:rPr>
                  <w:spacing w:val="10"/>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z w:val="17"/>
                </w:rPr>
                <w:t>. </w:t>
              </w:r>
            </w:hyperlink>
          </w:p>
        </w:tc>
        <w:tc>
          <w:tcPr>
            <w:tcW w:w="394" w:type="dxa"/>
          </w:tcPr>
          <w:p>
            <w:pPr>
              <w:pStyle w:val="TableParagraph"/>
              <w:spacing w:before="0"/>
              <w:jc w:val="left"/>
              <w:rPr>
                <w:sz w:val="17"/>
              </w:rPr>
            </w:pPr>
          </w:p>
          <w:p>
            <w:pPr>
              <w:pStyle w:val="TableParagraph"/>
              <w:spacing w:before="0"/>
              <w:jc w:val="left"/>
              <w:rPr>
                <w:sz w:val="17"/>
              </w:rPr>
            </w:pPr>
          </w:p>
          <w:p>
            <w:pPr>
              <w:pStyle w:val="TableParagraph"/>
              <w:spacing w:before="17"/>
              <w:jc w:val="left"/>
              <w:rPr>
                <w:sz w:val="17"/>
              </w:rPr>
            </w:pPr>
          </w:p>
          <w:p>
            <w:pPr>
              <w:pStyle w:val="TableParagraph"/>
              <w:spacing w:before="0"/>
              <w:ind w:left="99"/>
              <w:jc w:val="center"/>
              <w:rPr>
                <w:sz w:val="17"/>
              </w:rPr>
            </w:pPr>
            <w:hyperlink w:history="true" w:anchor="_bookmark39">
              <w:r>
                <w:rPr>
                  <w:spacing w:val="-5"/>
                  <w:sz w:val="17"/>
                </w:rPr>
                <w:t>24</w:t>
              </w:r>
            </w:hyperlink>
          </w:p>
        </w:tc>
      </w:tr>
      <w:tr>
        <w:trPr>
          <w:trHeight w:val="679" w:hRule="atLeast"/>
        </w:trPr>
        <w:tc>
          <w:tcPr>
            <w:tcW w:w="9117" w:type="dxa"/>
          </w:tcPr>
          <w:p>
            <w:pPr>
              <w:pStyle w:val="TableParagraph"/>
              <w:spacing w:line="295" w:lineRule="auto"/>
              <w:ind w:left="1049" w:right="124" w:hanging="201"/>
              <w:jc w:val="left"/>
              <w:rPr>
                <w:sz w:val="17"/>
              </w:rPr>
            </w:pPr>
            <w:hyperlink w:history="true" w:anchor="_bookmark40">
              <w:r>
                <w:rPr>
                  <w:sz w:val="17"/>
                </w:rPr>
                <w:t>Disposición</w:t>
              </w:r>
              <w:r>
                <w:rPr>
                  <w:spacing w:val="37"/>
                  <w:sz w:val="17"/>
                </w:rPr>
                <w:t> </w:t>
              </w:r>
              <w:r>
                <w:rPr>
                  <w:sz w:val="17"/>
                </w:rPr>
                <w:t>adicional</w:t>
              </w:r>
              <w:r>
                <w:rPr>
                  <w:spacing w:val="37"/>
                  <w:sz w:val="17"/>
                </w:rPr>
                <w:t> </w:t>
              </w:r>
              <w:r>
                <w:rPr>
                  <w:sz w:val="17"/>
                </w:rPr>
                <w:t>cuarta.</w:t>
              </w:r>
              <w:r>
                <w:rPr>
                  <w:spacing w:val="37"/>
                  <w:sz w:val="17"/>
                </w:rPr>
                <w:t> </w:t>
              </w:r>
              <w:r>
                <w:rPr>
                  <w:sz w:val="17"/>
                </w:rPr>
                <w:t>Régimen</w:t>
              </w:r>
              <w:r>
                <w:rPr>
                  <w:spacing w:val="37"/>
                  <w:sz w:val="17"/>
                </w:rPr>
                <w:t> </w:t>
              </w:r>
              <w:r>
                <w:rPr>
                  <w:sz w:val="17"/>
                </w:rPr>
                <w:t>fiscal</w:t>
              </w:r>
              <w:r>
                <w:rPr>
                  <w:spacing w:val="37"/>
                  <w:sz w:val="17"/>
                </w:rPr>
                <w:t> </w:t>
              </w:r>
              <w:r>
                <w:rPr>
                  <w:sz w:val="17"/>
                </w:rPr>
                <w:t>de</w:t>
              </w:r>
              <w:r>
                <w:rPr>
                  <w:spacing w:val="37"/>
                  <w:sz w:val="17"/>
                </w:rPr>
                <w:t> </w:t>
              </w:r>
              <w:r>
                <w:rPr>
                  <w:sz w:val="17"/>
                </w:rPr>
                <w:t>los</w:t>
              </w:r>
              <w:r>
                <w:rPr>
                  <w:spacing w:val="37"/>
                  <w:sz w:val="17"/>
                </w:rPr>
                <w:t> </w:t>
              </w:r>
              <w:r>
                <w:rPr>
                  <w:sz w:val="17"/>
                </w:rPr>
                <w:t>bienes</w:t>
              </w:r>
              <w:r>
                <w:rPr>
                  <w:spacing w:val="37"/>
                  <w:sz w:val="17"/>
                </w:rPr>
                <w:t> </w:t>
              </w:r>
              <w:r>
                <w:rPr>
                  <w:sz w:val="17"/>
                </w:rPr>
                <w:t>integrantes</w:t>
              </w:r>
              <w:r>
                <w:rPr>
                  <w:spacing w:val="37"/>
                  <w:sz w:val="17"/>
                </w:rPr>
                <w:t> </w:t>
              </w:r>
              <w:r>
                <w:rPr>
                  <w:sz w:val="17"/>
                </w:rPr>
                <w:t>del</w:t>
              </w:r>
              <w:r>
                <w:rPr>
                  <w:spacing w:val="37"/>
                  <w:sz w:val="17"/>
                </w:rPr>
                <w:t> </w:t>
              </w:r>
              <w:r>
                <w:rPr>
                  <w:sz w:val="17"/>
                </w:rPr>
                <w:t>Patrimonio</w:t>
              </w:r>
              <w:r>
                <w:rPr>
                  <w:spacing w:val="37"/>
                  <w:sz w:val="17"/>
                </w:rPr>
                <w:t> </w:t>
              </w:r>
              <w:r>
                <w:rPr>
                  <w:sz w:val="17"/>
                </w:rPr>
                <w:t>Histórico</w:t>
              </w:r>
              <w:r>
                <w:rPr>
                  <w:spacing w:val="37"/>
                  <w:sz w:val="17"/>
                </w:rPr>
                <w:t> </w:t>
              </w:r>
              <w:r>
                <w:rPr>
                  <w:sz w:val="17"/>
                </w:rPr>
                <w:t>de</w:t>
              </w:r>
              <w:r>
                <w:rPr>
                  <w:spacing w:val="37"/>
                  <w:sz w:val="17"/>
                </w:rPr>
                <w:t> </w:t>
              </w:r>
              <w:r>
                <w:rPr>
                  <w:sz w:val="17"/>
                </w:rPr>
                <w:t>las</w:t>
              </w:r>
            </w:hyperlink>
            <w:r>
              <w:rPr>
                <w:sz w:val="17"/>
              </w:rPr>
              <w:t> </w:t>
            </w:r>
            <w:hyperlink w:history="true" w:anchor="_bookmark40">
              <w:r>
                <w:rPr>
                  <w:sz w:val="17"/>
                </w:rPr>
                <w:t>Comunidades Autónomas.</w:t>
              </w:r>
              <w:r>
                <w:rPr>
                  <w:spacing w:val="40"/>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z w:val="17"/>
                </w:rPr>
                <w:t>. </w:t>
              </w:r>
            </w:hyperlink>
          </w:p>
        </w:tc>
        <w:tc>
          <w:tcPr>
            <w:tcW w:w="394" w:type="dxa"/>
          </w:tcPr>
          <w:p>
            <w:pPr>
              <w:pStyle w:val="TableParagraph"/>
              <w:spacing w:before="168"/>
              <w:jc w:val="left"/>
              <w:rPr>
                <w:sz w:val="17"/>
              </w:rPr>
            </w:pPr>
          </w:p>
          <w:p>
            <w:pPr>
              <w:pStyle w:val="TableParagraph"/>
              <w:spacing w:before="0"/>
              <w:ind w:left="99"/>
              <w:jc w:val="center"/>
              <w:rPr>
                <w:sz w:val="17"/>
              </w:rPr>
            </w:pPr>
            <w:hyperlink w:history="true" w:anchor="_bookmark40">
              <w:r>
                <w:rPr>
                  <w:spacing w:val="-5"/>
                  <w:sz w:val="17"/>
                </w:rPr>
                <w:t>25</w:t>
              </w:r>
            </w:hyperlink>
          </w:p>
        </w:tc>
      </w:tr>
      <w:tr>
        <w:trPr>
          <w:trHeight w:val="680" w:hRule="atLeast"/>
        </w:trPr>
        <w:tc>
          <w:tcPr>
            <w:tcW w:w="9117" w:type="dxa"/>
          </w:tcPr>
          <w:p>
            <w:pPr>
              <w:pStyle w:val="TableParagraph"/>
              <w:spacing w:line="295" w:lineRule="auto"/>
              <w:ind w:left="1050" w:right="124" w:hanging="201"/>
              <w:jc w:val="left"/>
              <w:rPr>
                <w:sz w:val="17"/>
              </w:rPr>
            </w:pPr>
            <w:hyperlink w:history="true" w:anchor="_bookmark41">
              <w:r>
                <w:rPr>
                  <w:sz w:val="17"/>
                </w:rPr>
                <w:t>Disposición</w:t>
              </w:r>
              <w:r>
                <w:rPr>
                  <w:spacing w:val="71"/>
                  <w:sz w:val="17"/>
                </w:rPr>
                <w:t> </w:t>
              </w:r>
              <w:r>
                <w:rPr>
                  <w:sz w:val="17"/>
                </w:rPr>
                <w:t>adicional</w:t>
              </w:r>
              <w:r>
                <w:rPr>
                  <w:spacing w:val="71"/>
                  <w:sz w:val="17"/>
                </w:rPr>
                <w:t> </w:t>
              </w:r>
              <w:r>
                <w:rPr>
                  <w:sz w:val="17"/>
                </w:rPr>
                <w:t>quinta.</w:t>
              </w:r>
              <w:r>
                <w:rPr>
                  <w:spacing w:val="71"/>
                  <w:sz w:val="17"/>
                </w:rPr>
                <w:t> </w:t>
              </w:r>
              <w:r>
                <w:rPr>
                  <w:sz w:val="17"/>
                </w:rPr>
                <w:t>Régimen</w:t>
              </w:r>
              <w:r>
                <w:rPr>
                  <w:spacing w:val="71"/>
                  <w:sz w:val="17"/>
                </w:rPr>
                <w:t> </w:t>
              </w:r>
              <w:r>
                <w:rPr>
                  <w:sz w:val="17"/>
                </w:rPr>
                <w:t>tributario</w:t>
              </w:r>
              <w:r>
                <w:rPr>
                  <w:spacing w:val="71"/>
                  <w:sz w:val="17"/>
                </w:rPr>
                <w:t> </w:t>
              </w:r>
              <w:r>
                <w:rPr>
                  <w:sz w:val="17"/>
                </w:rPr>
                <w:t>de</w:t>
              </w:r>
              <w:r>
                <w:rPr>
                  <w:spacing w:val="71"/>
                  <w:sz w:val="17"/>
                </w:rPr>
                <w:t> </w:t>
              </w:r>
              <w:r>
                <w:rPr>
                  <w:sz w:val="17"/>
                </w:rPr>
                <w:t>la</w:t>
              </w:r>
              <w:r>
                <w:rPr>
                  <w:spacing w:val="71"/>
                  <w:sz w:val="17"/>
                </w:rPr>
                <w:t> </w:t>
              </w:r>
              <w:r>
                <w:rPr>
                  <w:sz w:val="17"/>
                </w:rPr>
                <w:t>Cruz</w:t>
              </w:r>
              <w:r>
                <w:rPr>
                  <w:spacing w:val="71"/>
                  <w:sz w:val="17"/>
                </w:rPr>
                <w:t> </w:t>
              </w:r>
              <w:r>
                <w:rPr>
                  <w:sz w:val="17"/>
                </w:rPr>
                <w:t>Roja</w:t>
              </w:r>
              <w:r>
                <w:rPr>
                  <w:spacing w:val="71"/>
                  <w:sz w:val="17"/>
                </w:rPr>
                <w:t> </w:t>
              </w:r>
              <w:r>
                <w:rPr>
                  <w:sz w:val="17"/>
                </w:rPr>
                <w:t>Española</w:t>
              </w:r>
              <w:r>
                <w:rPr>
                  <w:spacing w:val="71"/>
                  <w:sz w:val="17"/>
                </w:rPr>
                <w:t> </w:t>
              </w:r>
              <w:r>
                <w:rPr>
                  <w:sz w:val="17"/>
                </w:rPr>
                <w:t>y</w:t>
              </w:r>
              <w:r>
                <w:rPr>
                  <w:spacing w:val="71"/>
                  <w:sz w:val="17"/>
                </w:rPr>
                <w:t> </w:t>
              </w:r>
              <w:r>
                <w:rPr>
                  <w:sz w:val="17"/>
                </w:rPr>
                <w:t>de</w:t>
              </w:r>
              <w:r>
                <w:rPr>
                  <w:spacing w:val="71"/>
                  <w:sz w:val="17"/>
                </w:rPr>
                <w:t> </w:t>
              </w:r>
              <w:r>
                <w:rPr>
                  <w:sz w:val="17"/>
                </w:rPr>
                <w:t>la</w:t>
              </w:r>
              <w:r>
                <w:rPr>
                  <w:spacing w:val="71"/>
                  <w:sz w:val="17"/>
                </w:rPr>
                <w:t> </w:t>
              </w:r>
              <w:r>
                <w:rPr>
                  <w:sz w:val="17"/>
                </w:rPr>
                <w:t>Organización</w:t>
              </w:r>
            </w:hyperlink>
            <w:r>
              <w:rPr>
                <w:sz w:val="17"/>
              </w:rPr>
              <w:t> </w:t>
            </w:r>
            <w:hyperlink w:history="true" w:anchor="_bookmark41">
              <w:r>
                <w:rPr>
                  <w:sz w:val="17"/>
                </w:rPr>
                <w:t>Nacional de Ciegos Españoles.</w:t>
              </w:r>
              <w:r>
                <w:rPr>
                  <w:spacing w:val="40"/>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z w:val="17"/>
                </w:rPr>
                <w:t>. </w:t>
              </w:r>
            </w:hyperlink>
          </w:p>
        </w:tc>
        <w:tc>
          <w:tcPr>
            <w:tcW w:w="394" w:type="dxa"/>
          </w:tcPr>
          <w:p>
            <w:pPr>
              <w:pStyle w:val="TableParagraph"/>
              <w:spacing w:before="168"/>
              <w:jc w:val="left"/>
              <w:rPr>
                <w:sz w:val="17"/>
              </w:rPr>
            </w:pPr>
          </w:p>
          <w:p>
            <w:pPr>
              <w:pStyle w:val="TableParagraph"/>
              <w:spacing w:before="0"/>
              <w:ind w:left="99"/>
              <w:jc w:val="center"/>
              <w:rPr>
                <w:sz w:val="17"/>
              </w:rPr>
            </w:pPr>
            <w:hyperlink w:history="true" w:anchor="_bookmark41">
              <w:r>
                <w:rPr>
                  <w:spacing w:val="-5"/>
                  <w:sz w:val="17"/>
                </w:rPr>
                <w:t>25</w:t>
              </w:r>
            </w:hyperlink>
          </w:p>
        </w:tc>
      </w:tr>
      <w:tr>
        <w:trPr>
          <w:trHeight w:val="439" w:hRule="atLeast"/>
        </w:trPr>
        <w:tc>
          <w:tcPr>
            <w:tcW w:w="9117" w:type="dxa"/>
          </w:tcPr>
          <w:p>
            <w:pPr>
              <w:pStyle w:val="TableParagraph"/>
              <w:ind w:right="149"/>
              <w:rPr>
                <w:sz w:val="17"/>
              </w:rPr>
            </w:pPr>
            <w:hyperlink w:history="true" w:anchor="_bookmark42">
              <w:r>
                <w:rPr>
                  <w:sz w:val="17"/>
                </w:rPr>
                <w:t>Disposición</w:t>
              </w:r>
              <w:r>
                <w:rPr>
                  <w:spacing w:val="4"/>
                  <w:sz w:val="17"/>
                </w:rPr>
                <w:t> </w:t>
              </w:r>
              <w:r>
                <w:rPr>
                  <w:sz w:val="17"/>
                </w:rPr>
                <w:t>adicional</w:t>
              </w:r>
              <w:r>
                <w:rPr>
                  <w:spacing w:val="5"/>
                  <w:sz w:val="17"/>
                </w:rPr>
                <w:t> </w:t>
              </w:r>
              <w:r>
                <w:rPr>
                  <w:sz w:val="17"/>
                </w:rPr>
                <w:t>sexta.</w:t>
              </w:r>
              <w:r>
                <w:rPr>
                  <w:spacing w:val="5"/>
                  <w:sz w:val="17"/>
                </w:rPr>
                <w:t> </w:t>
              </w:r>
              <w:r>
                <w:rPr>
                  <w:sz w:val="17"/>
                </w:rPr>
                <w:t>Régimen</w:t>
              </w:r>
              <w:r>
                <w:rPr>
                  <w:spacing w:val="4"/>
                  <w:sz w:val="17"/>
                </w:rPr>
                <w:t> </w:t>
              </w:r>
              <w:r>
                <w:rPr>
                  <w:sz w:val="17"/>
                </w:rPr>
                <w:t>tributario</w:t>
              </w:r>
              <w:r>
                <w:rPr>
                  <w:spacing w:val="5"/>
                  <w:sz w:val="17"/>
                </w:rPr>
                <w:t> </w:t>
              </w:r>
              <w:r>
                <w:rPr>
                  <w:sz w:val="17"/>
                </w:rPr>
                <w:t>de</w:t>
              </w:r>
              <w:r>
                <w:rPr>
                  <w:spacing w:val="5"/>
                  <w:sz w:val="17"/>
                </w:rPr>
                <w:t> </w:t>
              </w:r>
              <w:r>
                <w:rPr>
                  <w:sz w:val="17"/>
                </w:rPr>
                <w:t>la</w:t>
              </w:r>
              <w:r>
                <w:rPr>
                  <w:spacing w:val="5"/>
                  <w:sz w:val="17"/>
                </w:rPr>
                <w:t> </w:t>
              </w:r>
              <w:r>
                <w:rPr>
                  <w:sz w:val="17"/>
                </w:rPr>
                <w:t>Obra</w:t>
              </w:r>
              <w:r>
                <w:rPr>
                  <w:spacing w:val="4"/>
                  <w:sz w:val="17"/>
                </w:rPr>
                <w:t> </w:t>
              </w:r>
              <w:r>
                <w:rPr>
                  <w:sz w:val="17"/>
                </w:rPr>
                <w:t>Pía</w:t>
              </w:r>
              <w:r>
                <w:rPr>
                  <w:spacing w:val="5"/>
                  <w:sz w:val="17"/>
                </w:rPr>
                <w:t> </w:t>
              </w:r>
              <w:r>
                <w:rPr>
                  <w:sz w:val="17"/>
                </w:rPr>
                <w:t>de</w:t>
              </w:r>
              <w:r>
                <w:rPr>
                  <w:spacing w:val="5"/>
                  <w:sz w:val="17"/>
                </w:rPr>
                <w:t> </w:t>
              </w:r>
              <w:r>
                <w:rPr>
                  <w:sz w:val="17"/>
                </w:rPr>
                <w:t>los</w:t>
              </w:r>
              <w:r>
                <w:rPr>
                  <w:spacing w:val="4"/>
                  <w:sz w:val="17"/>
                </w:rPr>
                <w:t> </w:t>
              </w:r>
              <w:r>
                <w:rPr>
                  <w:sz w:val="17"/>
                </w:rPr>
                <w:t>Santos</w:t>
              </w:r>
              <w:r>
                <w:rPr>
                  <w:spacing w:val="5"/>
                  <w:sz w:val="17"/>
                </w:rPr>
                <w:t> </w:t>
              </w:r>
              <w:r>
                <w:rPr>
                  <w:sz w:val="17"/>
                </w:rPr>
                <w:t>Lugares.</w:t>
              </w:r>
              <w:r>
                <w:rPr>
                  <w:spacing w:val="-12"/>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42">
              <w:r>
                <w:rPr>
                  <w:spacing w:val="-5"/>
                  <w:sz w:val="17"/>
                </w:rPr>
                <w:t>25</w:t>
              </w:r>
            </w:hyperlink>
          </w:p>
        </w:tc>
      </w:tr>
      <w:tr>
        <w:trPr>
          <w:trHeight w:val="560" w:hRule="atLeast"/>
        </w:trPr>
        <w:tc>
          <w:tcPr>
            <w:tcW w:w="9117" w:type="dxa"/>
          </w:tcPr>
          <w:p>
            <w:pPr>
              <w:pStyle w:val="TableParagraph"/>
              <w:spacing w:line="240" w:lineRule="atLeast" w:before="60"/>
              <w:ind w:left="1050" w:right="124" w:hanging="201"/>
              <w:jc w:val="left"/>
              <w:rPr>
                <w:sz w:val="17"/>
              </w:rPr>
            </w:pPr>
            <w:hyperlink w:history="true" w:anchor="_bookmark43">
              <w:r>
                <w:rPr>
                  <w:sz w:val="17"/>
                </w:rPr>
                <w:t>Disposición</w:t>
              </w:r>
              <w:r>
                <w:rPr>
                  <w:spacing w:val="38"/>
                  <w:sz w:val="17"/>
                </w:rPr>
                <w:t> </w:t>
              </w:r>
              <w:r>
                <w:rPr>
                  <w:sz w:val="17"/>
                </w:rPr>
                <w:t>adicional</w:t>
              </w:r>
              <w:r>
                <w:rPr>
                  <w:spacing w:val="38"/>
                  <w:sz w:val="17"/>
                </w:rPr>
                <w:t> </w:t>
              </w:r>
              <w:r>
                <w:rPr>
                  <w:sz w:val="17"/>
                </w:rPr>
                <w:t>séptima.</w:t>
              </w:r>
              <w:r>
                <w:rPr>
                  <w:spacing w:val="38"/>
                  <w:sz w:val="17"/>
                </w:rPr>
                <w:t> </w:t>
              </w:r>
              <w:r>
                <w:rPr>
                  <w:sz w:val="17"/>
                </w:rPr>
                <w:t>Régimen</w:t>
              </w:r>
              <w:r>
                <w:rPr>
                  <w:spacing w:val="38"/>
                  <w:sz w:val="17"/>
                </w:rPr>
                <w:t> </w:t>
              </w:r>
              <w:r>
                <w:rPr>
                  <w:sz w:val="17"/>
                </w:rPr>
                <w:t>tributario</w:t>
              </w:r>
              <w:r>
                <w:rPr>
                  <w:spacing w:val="38"/>
                  <w:sz w:val="17"/>
                </w:rPr>
                <w:t> </w:t>
              </w:r>
              <w:r>
                <w:rPr>
                  <w:sz w:val="17"/>
                </w:rPr>
                <w:t>de</w:t>
              </w:r>
              <w:r>
                <w:rPr>
                  <w:spacing w:val="38"/>
                  <w:sz w:val="17"/>
                </w:rPr>
                <w:t> </w:t>
              </w:r>
              <w:r>
                <w:rPr>
                  <w:sz w:val="17"/>
                </w:rPr>
                <w:t>los</w:t>
              </w:r>
              <w:r>
                <w:rPr>
                  <w:spacing w:val="38"/>
                  <w:sz w:val="17"/>
                </w:rPr>
                <w:t> </w:t>
              </w:r>
              <w:r>
                <w:rPr>
                  <w:sz w:val="17"/>
                </w:rPr>
                <w:t>consorcios</w:t>
              </w:r>
              <w:r>
                <w:rPr>
                  <w:spacing w:val="38"/>
                  <w:sz w:val="17"/>
                </w:rPr>
                <w:t> </w:t>
              </w:r>
              <w:r>
                <w:rPr>
                  <w:sz w:val="17"/>
                </w:rPr>
                <w:t>Casa</w:t>
              </w:r>
              <w:r>
                <w:rPr>
                  <w:spacing w:val="38"/>
                  <w:sz w:val="17"/>
                </w:rPr>
                <w:t> </w:t>
              </w:r>
              <w:r>
                <w:rPr>
                  <w:sz w:val="17"/>
                </w:rPr>
                <w:t>de</w:t>
              </w:r>
              <w:r>
                <w:rPr>
                  <w:spacing w:val="38"/>
                  <w:sz w:val="17"/>
                </w:rPr>
                <w:t> </w:t>
              </w:r>
              <w:r>
                <w:rPr>
                  <w:sz w:val="17"/>
                </w:rPr>
                <w:t>América,</w:t>
              </w:r>
              <w:r>
                <w:rPr>
                  <w:spacing w:val="38"/>
                  <w:sz w:val="17"/>
                </w:rPr>
                <w:t> </w:t>
              </w:r>
              <w:r>
                <w:rPr>
                  <w:sz w:val="17"/>
                </w:rPr>
                <w:t>Casa</w:t>
              </w:r>
              <w:r>
                <w:rPr>
                  <w:spacing w:val="38"/>
                  <w:sz w:val="17"/>
                </w:rPr>
                <w:t> </w:t>
              </w:r>
              <w:r>
                <w:rPr>
                  <w:sz w:val="17"/>
                </w:rPr>
                <w:t>de</w:t>
              </w:r>
              <w:r>
                <w:rPr>
                  <w:spacing w:val="38"/>
                  <w:sz w:val="17"/>
                </w:rPr>
                <w:t> </w:t>
              </w:r>
              <w:r>
                <w:rPr>
                  <w:sz w:val="17"/>
                </w:rPr>
                <w:t>Asia,</w:t>
              </w:r>
            </w:hyperlink>
            <w:r>
              <w:rPr>
                <w:sz w:val="17"/>
              </w:rPr>
              <w:t> </w:t>
            </w:r>
            <w:hyperlink w:history="true" w:anchor="_bookmark43">
              <w:r>
                <w:rPr>
                  <w:sz w:val="17"/>
                </w:rPr>
                <w:t>"Institut</w:t>
              </w:r>
              <w:r>
                <w:rPr>
                  <w:spacing w:val="4"/>
                  <w:sz w:val="17"/>
                </w:rPr>
                <w:t> </w:t>
              </w:r>
              <w:r>
                <w:rPr>
                  <w:sz w:val="17"/>
                </w:rPr>
                <w:t>Europeu</w:t>
              </w:r>
              <w:r>
                <w:rPr>
                  <w:spacing w:val="5"/>
                  <w:sz w:val="17"/>
                </w:rPr>
                <w:t> </w:t>
              </w:r>
              <w:r>
                <w:rPr>
                  <w:sz w:val="17"/>
                </w:rPr>
                <w:t>de</w:t>
              </w:r>
              <w:r>
                <w:rPr>
                  <w:spacing w:val="4"/>
                  <w:sz w:val="17"/>
                </w:rPr>
                <w:t> </w:t>
              </w:r>
              <w:r>
                <w:rPr>
                  <w:sz w:val="17"/>
                </w:rPr>
                <w:t>la</w:t>
              </w:r>
              <w:r>
                <w:rPr>
                  <w:spacing w:val="5"/>
                  <w:sz w:val="17"/>
                </w:rPr>
                <w:t> </w:t>
              </w:r>
              <w:r>
                <w:rPr>
                  <w:sz w:val="17"/>
                </w:rPr>
                <w:t>Mediterrània"</w:t>
              </w:r>
              <w:r>
                <w:rPr>
                  <w:spacing w:val="4"/>
                  <w:sz w:val="17"/>
                </w:rPr>
                <w:t> </w:t>
              </w:r>
              <w:r>
                <w:rPr>
                  <w:sz w:val="17"/>
                </w:rPr>
                <w:t>y</w:t>
              </w:r>
              <w:r>
                <w:rPr>
                  <w:spacing w:val="5"/>
                  <w:sz w:val="17"/>
                </w:rPr>
                <w:t> </w:t>
              </w:r>
              <w:r>
                <w:rPr>
                  <w:sz w:val="17"/>
                </w:rPr>
                <w:t>el</w:t>
              </w:r>
              <w:r>
                <w:rPr>
                  <w:spacing w:val="5"/>
                  <w:sz w:val="17"/>
                </w:rPr>
                <w:t> </w:t>
              </w:r>
              <w:r>
                <w:rPr>
                  <w:sz w:val="17"/>
                </w:rPr>
                <w:t>Museo</w:t>
              </w:r>
              <w:r>
                <w:rPr>
                  <w:spacing w:val="4"/>
                  <w:sz w:val="17"/>
                </w:rPr>
                <w:t> </w:t>
              </w:r>
              <w:r>
                <w:rPr>
                  <w:sz w:val="17"/>
                </w:rPr>
                <w:t>Nacional</w:t>
              </w:r>
              <w:r>
                <w:rPr>
                  <w:spacing w:val="5"/>
                  <w:sz w:val="17"/>
                </w:rPr>
                <w:t> </w:t>
              </w:r>
              <w:r>
                <w:rPr>
                  <w:sz w:val="17"/>
                </w:rPr>
                <w:t>de</w:t>
              </w:r>
              <w:r>
                <w:rPr>
                  <w:spacing w:val="4"/>
                  <w:sz w:val="17"/>
                </w:rPr>
                <w:t> </w:t>
              </w:r>
              <w:r>
                <w:rPr>
                  <w:sz w:val="17"/>
                </w:rPr>
                <w:t>Arte</w:t>
              </w:r>
              <w:r>
                <w:rPr>
                  <w:spacing w:val="5"/>
                  <w:sz w:val="17"/>
                </w:rPr>
                <w:t> </w:t>
              </w:r>
              <w:r>
                <w:rPr>
                  <w:sz w:val="17"/>
                </w:rPr>
                <w:t>de</w:t>
              </w:r>
              <w:r>
                <w:rPr>
                  <w:spacing w:val="5"/>
                  <w:sz w:val="17"/>
                </w:rPr>
                <w:t> </w:t>
              </w:r>
              <w:r>
                <w:rPr>
                  <w:sz w:val="17"/>
                </w:rPr>
                <w:t>Cataluña.</w:t>
              </w:r>
              <w:r>
                <w:rPr>
                  <w:spacing w:val="-8"/>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68"/>
              <w:jc w:val="left"/>
              <w:rPr>
                <w:sz w:val="17"/>
              </w:rPr>
            </w:pPr>
          </w:p>
          <w:p>
            <w:pPr>
              <w:pStyle w:val="TableParagraph"/>
              <w:spacing w:line="177" w:lineRule="exact" w:before="0"/>
              <w:ind w:left="99"/>
              <w:jc w:val="center"/>
              <w:rPr>
                <w:sz w:val="17"/>
              </w:rPr>
            </w:pPr>
            <w:hyperlink w:history="true" w:anchor="_bookmark43">
              <w:r>
                <w:rPr>
                  <w:spacing w:val="-5"/>
                  <w:sz w:val="17"/>
                </w:rPr>
                <w:t>26</w:t>
              </w:r>
            </w:hyperlink>
          </w:p>
        </w:tc>
      </w:tr>
    </w:tbl>
    <w:p>
      <w:pPr>
        <w:pStyle w:val="TableParagraph"/>
        <w:spacing w:after="0" w:line="177" w:lineRule="exact"/>
        <w:jc w:val="center"/>
        <w:rPr>
          <w:sz w:val="17"/>
        </w:rPr>
        <w:sectPr>
          <w:headerReference w:type="default" r:id="rId7"/>
          <w:footerReference w:type="default" r:id="rId8"/>
          <w:pgSz w:w="11910" w:h="16840"/>
          <w:pgMar w:header="349" w:footer="530" w:top="1200" w:bottom="760" w:left="1559" w:right="708"/>
        </w:sectPr>
      </w:pPr>
    </w:p>
    <w:p>
      <w:pPr>
        <w:pStyle w:val="BodyText"/>
        <w:spacing w:before="0"/>
        <w:ind w:left="0" w:firstLine="0"/>
        <w:jc w:val="left"/>
      </w:pPr>
    </w:p>
    <w:p>
      <w:pPr>
        <w:pStyle w:val="BodyText"/>
        <w:spacing w:before="47"/>
        <w:ind w:left="0" w:firstLine="0"/>
        <w:jc w:val="left"/>
      </w:pPr>
    </w:p>
    <w:tbl>
      <w:tblPr>
        <w:tblW w:w="0" w:type="auto"/>
        <w:jc w:val="left"/>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17"/>
        <w:gridCol w:w="394"/>
      </w:tblGrid>
      <w:tr>
        <w:trPr>
          <w:trHeight w:val="320" w:hRule="atLeast"/>
        </w:trPr>
        <w:tc>
          <w:tcPr>
            <w:tcW w:w="9117" w:type="dxa"/>
          </w:tcPr>
          <w:p>
            <w:pPr>
              <w:pStyle w:val="TableParagraph"/>
              <w:spacing w:line="194" w:lineRule="exact" w:before="0"/>
              <w:ind w:right="148"/>
              <w:rPr>
                <w:sz w:val="17"/>
              </w:rPr>
            </w:pPr>
            <w:hyperlink w:history="true" w:anchor="_bookmark44">
              <w:r>
                <w:rPr>
                  <w:sz w:val="17"/>
                </w:rPr>
                <w:t>Disposición</w:t>
              </w:r>
              <w:r>
                <w:rPr>
                  <w:spacing w:val="4"/>
                  <w:sz w:val="17"/>
                </w:rPr>
                <w:t> </w:t>
              </w:r>
              <w:r>
                <w:rPr>
                  <w:sz w:val="17"/>
                </w:rPr>
                <w:t>adicional</w:t>
              </w:r>
              <w:r>
                <w:rPr>
                  <w:spacing w:val="4"/>
                  <w:sz w:val="17"/>
                </w:rPr>
                <w:t> </w:t>
              </w:r>
              <w:r>
                <w:rPr>
                  <w:sz w:val="17"/>
                </w:rPr>
                <w:t>octava.</w:t>
              </w:r>
              <w:r>
                <w:rPr>
                  <w:spacing w:val="4"/>
                  <w:sz w:val="17"/>
                </w:rPr>
                <w:t> </w:t>
              </w:r>
              <w:r>
                <w:rPr>
                  <w:sz w:val="17"/>
                </w:rPr>
                <w:t>Fundaciones</w:t>
              </w:r>
              <w:r>
                <w:rPr>
                  <w:spacing w:val="5"/>
                  <w:sz w:val="17"/>
                </w:rPr>
                <w:t> </w:t>
              </w:r>
              <w:r>
                <w:rPr>
                  <w:sz w:val="17"/>
                </w:rPr>
                <w:t>de</w:t>
              </w:r>
              <w:r>
                <w:rPr>
                  <w:spacing w:val="4"/>
                  <w:sz w:val="17"/>
                </w:rPr>
                <w:t> </w:t>
              </w:r>
              <w:r>
                <w:rPr>
                  <w:sz w:val="17"/>
                </w:rPr>
                <w:t>entidades</w:t>
              </w:r>
              <w:r>
                <w:rPr>
                  <w:spacing w:val="4"/>
                  <w:sz w:val="17"/>
                </w:rPr>
                <w:t> </w:t>
              </w:r>
              <w:r>
                <w:rPr>
                  <w:sz w:val="17"/>
                </w:rPr>
                <w:t>religiosas.</w:t>
              </w:r>
              <w:r>
                <w:rPr>
                  <w:spacing w:val="7"/>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4"/>
              <w:ind w:left="99"/>
              <w:jc w:val="center"/>
              <w:rPr>
                <w:sz w:val="17"/>
              </w:rPr>
            </w:pPr>
            <w:hyperlink w:history="true" w:anchor="_bookmark44">
              <w:r>
                <w:rPr>
                  <w:spacing w:val="-5"/>
                  <w:sz w:val="17"/>
                </w:rPr>
                <w:t>26</w:t>
              </w:r>
            </w:hyperlink>
          </w:p>
        </w:tc>
      </w:tr>
      <w:tr>
        <w:trPr>
          <w:trHeight w:val="680" w:hRule="atLeast"/>
        </w:trPr>
        <w:tc>
          <w:tcPr>
            <w:tcW w:w="9117" w:type="dxa"/>
          </w:tcPr>
          <w:p>
            <w:pPr>
              <w:pStyle w:val="TableParagraph"/>
              <w:spacing w:line="295" w:lineRule="auto"/>
              <w:ind w:left="1050" w:right="124" w:hanging="201"/>
              <w:jc w:val="left"/>
              <w:rPr>
                <w:sz w:val="17"/>
              </w:rPr>
            </w:pPr>
            <w:hyperlink w:history="true" w:anchor="_bookmark45">
              <w:r>
                <w:rPr>
                  <w:sz w:val="17"/>
                </w:rPr>
                <w:t>Disposición</w:t>
              </w:r>
              <w:r>
                <w:rPr>
                  <w:spacing w:val="29"/>
                  <w:sz w:val="17"/>
                </w:rPr>
                <w:t> </w:t>
              </w:r>
              <w:r>
                <w:rPr>
                  <w:sz w:val="17"/>
                </w:rPr>
                <w:t>adicional</w:t>
              </w:r>
              <w:r>
                <w:rPr>
                  <w:spacing w:val="29"/>
                  <w:sz w:val="17"/>
                </w:rPr>
                <w:t> </w:t>
              </w:r>
              <w:r>
                <w:rPr>
                  <w:sz w:val="17"/>
                </w:rPr>
                <w:t>novena.</w:t>
              </w:r>
              <w:r>
                <w:rPr>
                  <w:spacing w:val="29"/>
                  <w:sz w:val="17"/>
                </w:rPr>
                <w:t> </w:t>
              </w:r>
              <w:r>
                <w:rPr>
                  <w:sz w:val="17"/>
                </w:rPr>
                <w:t>Régimen</w:t>
              </w:r>
              <w:r>
                <w:rPr>
                  <w:spacing w:val="29"/>
                  <w:sz w:val="17"/>
                </w:rPr>
                <w:t> </w:t>
              </w:r>
              <w:r>
                <w:rPr>
                  <w:sz w:val="17"/>
                </w:rPr>
                <w:t>tributario</w:t>
              </w:r>
              <w:r>
                <w:rPr>
                  <w:spacing w:val="29"/>
                  <w:sz w:val="17"/>
                </w:rPr>
                <w:t> </w:t>
              </w:r>
              <w:r>
                <w:rPr>
                  <w:sz w:val="17"/>
                </w:rPr>
                <w:t>de</w:t>
              </w:r>
              <w:r>
                <w:rPr>
                  <w:spacing w:val="29"/>
                  <w:sz w:val="17"/>
                </w:rPr>
                <w:t> </w:t>
              </w:r>
              <w:r>
                <w:rPr>
                  <w:sz w:val="17"/>
                </w:rPr>
                <w:t>la</w:t>
              </w:r>
              <w:r>
                <w:rPr>
                  <w:spacing w:val="29"/>
                  <w:sz w:val="17"/>
                </w:rPr>
                <w:t> </w:t>
              </w:r>
              <w:r>
                <w:rPr>
                  <w:sz w:val="17"/>
                </w:rPr>
                <w:t>Iglesia</w:t>
              </w:r>
              <w:r>
                <w:rPr>
                  <w:spacing w:val="29"/>
                  <w:sz w:val="17"/>
                </w:rPr>
                <w:t> </w:t>
              </w:r>
              <w:r>
                <w:rPr>
                  <w:sz w:val="17"/>
                </w:rPr>
                <w:t>Católica</w:t>
              </w:r>
              <w:r>
                <w:rPr>
                  <w:spacing w:val="29"/>
                  <w:sz w:val="17"/>
                </w:rPr>
                <w:t> </w:t>
              </w:r>
              <w:r>
                <w:rPr>
                  <w:sz w:val="17"/>
                </w:rPr>
                <w:t>y</w:t>
              </w:r>
              <w:r>
                <w:rPr>
                  <w:spacing w:val="29"/>
                  <w:sz w:val="17"/>
                </w:rPr>
                <w:t> </w:t>
              </w:r>
              <w:r>
                <w:rPr>
                  <w:sz w:val="17"/>
                </w:rPr>
                <w:t>de</w:t>
              </w:r>
              <w:r>
                <w:rPr>
                  <w:spacing w:val="29"/>
                  <w:sz w:val="17"/>
                </w:rPr>
                <w:t> </w:t>
              </w:r>
              <w:r>
                <w:rPr>
                  <w:sz w:val="17"/>
                </w:rPr>
                <w:t>otras</w:t>
              </w:r>
              <w:r>
                <w:rPr>
                  <w:spacing w:val="29"/>
                  <w:sz w:val="17"/>
                </w:rPr>
                <w:t> </w:t>
              </w:r>
              <w:r>
                <w:rPr>
                  <w:sz w:val="17"/>
                </w:rPr>
                <w:t>iglesias,</w:t>
              </w:r>
              <w:r>
                <w:rPr>
                  <w:spacing w:val="29"/>
                  <w:sz w:val="17"/>
                </w:rPr>
                <w:t> </w:t>
              </w:r>
              <w:r>
                <w:rPr>
                  <w:sz w:val="17"/>
                </w:rPr>
                <w:t>confesiones</w:t>
              </w:r>
            </w:hyperlink>
            <w:r>
              <w:rPr>
                <w:sz w:val="17"/>
              </w:rPr>
              <w:t> </w:t>
            </w:r>
            <w:hyperlink w:history="true" w:anchor="_bookmark45">
              <w:r>
                <w:rPr>
                  <w:sz w:val="17"/>
                </w:rPr>
                <w:t>y comunidades religiosas..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z w:val="17"/>
                </w:rPr>
                <w:t>. </w:t>
              </w:r>
            </w:hyperlink>
          </w:p>
        </w:tc>
        <w:tc>
          <w:tcPr>
            <w:tcW w:w="394" w:type="dxa"/>
          </w:tcPr>
          <w:p>
            <w:pPr>
              <w:pStyle w:val="TableParagraph"/>
              <w:spacing w:before="168"/>
              <w:jc w:val="left"/>
              <w:rPr>
                <w:sz w:val="17"/>
              </w:rPr>
            </w:pPr>
          </w:p>
          <w:p>
            <w:pPr>
              <w:pStyle w:val="TableParagraph"/>
              <w:spacing w:before="0"/>
              <w:ind w:left="99"/>
              <w:jc w:val="center"/>
              <w:rPr>
                <w:sz w:val="17"/>
              </w:rPr>
            </w:pPr>
            <w:hyperlink w:history="true" w:anchor="_bookmark45">
              <w:r>
                <w:rPr>
                  <w:spacing w:val="-5"/>
                  <w:sz w:val="17"/>
                </w:rPr>
                <w:t>26</w:t>
              </w:r>
            </w:hyperlink>
          </w:p>
        </w:tc>
      </w:tr>
      <w:tr>
        <w:trPr>
          <w:trHeight w:val="920" w:hRule="atLeast"/>
        </w:trPr>
        <w:tc>
          <w:tcPr>
            <w:tcW w:w="9117" w:type="dxa"/>
          </w:tcPr>
          <w:p>
            <w:pPr>
              <w:pStyle w:val="TableParagraph"/>
              <w:spacing w:line="295" w:lineRule="auto"/>
              <w:ind w:left="1049" w:right="148" w:hanging="200"/>
              <w:jc w:val="both"/>
              <w:rPr>
                <w:sz w:val="17"/>
              </w:rPr>
            </w:pPr>
            <w:hyperlink w:history="true" w:anchor="_bookmark46">
              <w:r>
                <w:rPr>
                  <w:sz w:val="17"/>
                </w:rPr>
                <w:t>Disposición adicional décima. Régimen tributario del Instituto de España y las Reales Academias</w:t>
              </w:r>
            </w:hyperlink>
            <w:r>
              <w:rPr>
                <w:spacing w:val="40"/>
                <w:sz w:val="17"/>
              </w:rPr>
              <w:t> </w:t>
            </w:r>
            <w:hyperlink w:history="true" w:anchor="_bookmark46">
              <w:r>
                <w:rPr>
                  <w:sz w:val="17"/>
                </w:rPr>
                <w:t>integradas</w:t>
              </w:r>
              <w:r>
                <w:rPr>
                  <w:spacing w:val="32"/>
                  <w:sz w:val="17"/>
                </w:rPr>
                <w:t> </w:t>
              </w:r>
              <w:r>
                <w:rPr>
                  <w:sz w:val="17"/>
                </w:rPr>
                <w:t>en</w:t>
              </w:r>
              <w:r>
                <w:rPr>
                  <w:spacing w:val="32"/>
                  <w:sz w:val="17"/>
                </w:rPr>
                <w:t> </w:t>
              </w:r>
              <w:r>
                <w:rPr>
                  <w:sz w:val="17"/>
                </w:rPr>
                <w:t>el</w:t>
              </w:r>
              <w:r>
                <w:rPr>
                  <w:spacing w:val="32"/>
                  <w:sz w:val="17"/>
                </w:rPr>
                <w:t> </w:t>
              </w:r>
              <w:r>
                <w:rPr>
                  <w:sz w:val="17"/>
                </w:rPr>
                <w:t>mismo,</w:t>
              </w:r>
              <w:r>
                <w:rPr>
                  <w:spacing w:val="32"/>
                  <w:sz w:val="17"/>
                </w:rPr>
                <w:t> </w:t>
              </w:r>
              <w:r>
                <w:rPr>
                  <w:sz w:val="17"/>
                </w:rPr>
                <w:t>así</w:t>
              </w:r>
              <w:r>
                <w:rPr>
                  <w:spacing w:val="32"/>
                  <w:sz w:val="17"/>
                </w:rPr>
                <w:t> </w:t>
              </w:r>
              <w:r>
                <w:rPr>
                  <w:sz w:val="17"/>
                </w:rPr>
                <w:t>como</w:t>
              </w:r>
              <w:r>
                <w:rPr>
                  <w:spacing w:val="32"/>
                  <w:sz w:val="17"/>
                </w:rPr>
                <w:t> </w:t>
              </w:r>
              <w:r>
                <w:rPr>
                  <w:sz w:val="17"/>
                </w:rPr>
                <w:t>de</w:t>
              </w:r>
              <w:r>
                <w:rPr>
                  <w:spacing w:val="32"/>
                  <w:sz w:val="17"/>
                </w:rPr>
                <w:t> </w:t>
              </w:r>
              <w:r>
                <w:rPr>
                  <w:sz w:val="17"/>
                </w:rPr>
                <w:t>las</w:t>
              </w:r>
              <w:r>
                <w:rPr>
                  <w:spacing w:val="32"/>
                  <w:sz w:val="17"/>
                </w:rPr>
                <w:t> </w:t>
              </w:r>
              <w:r>
                <w:rPr>
                  <w:sz w:val="17"/>
                </w:rPr>
                <w:t>instituciones</w:t>
              </w:r>
              <w:r>
                <w:rPr>
                  <w:spacing w:val="32"/>
                  <w:sz w:val="17"/>
                </w:rPr>
                <w:t> </w:t>
              </w:r>
              <w:r>
                <w:rPr>
                  <w:sz w:val="17"/>
                </w:rPr>
                <w:t>de</w:t>
              </w:r>
              <w:r>
                <w:rPr>
                  <w:spacing w:val="32"/>
                  <w:sz w:val="17"/>
                </w:rPr>
                <w:t> </w:t>
              </w:r>
              <w:r>
                <w:rPr>
                  <w:sz w:val="17"/>
                </w:rPr>
                <w:t>las</w:t>
              </w:r>
              <w:r>
                <w:rPr>
                  <w:spacing w:val="32"/>
                  <w:sz w:val="17"/>
                </w:rPr>
                <w:t> </w:t>
              </w:r>
              <w:r>
                <w:rPr>
                  <w:sz w:val="17"/>
                </w:rPr>
                <w:t>Comunidades</w:t>
              </w:r>
              <w:r>
                <w:rPr>
                  <w:spacing w:val="32"/>
                  <w:sz w:val="17"/>
                </w:rPr>
                <w:t> </w:t>
              </w:r>
              <w:r>
                <w:rPr>
                  <w:sz w:val="17"/>
                </w:rPr>
                <w:t>Autónomas</w:t>
              </w:r>
              <w:r>
                <w:rPr>
                  <w:spacing w:val="32"/>
                  <w:sz w:val="17"/>
                </w:rPr>
                <w:t> </w:t>
              </w:r>
              <w:r>
                <w:rPr>
                  <w:sz w:val="17"/>
                </w:rPr>
                <w:t>que</w:t>
              </w:r>
              <w:r>
                <w:rPr>
                  <w:spacing w:val="32"/>
                  <w:sz w:val="17"/>
                </w:rPr>
                <w:t> </w:t>
              </w:r>
              <w:r>
                <w:rPr>
                  <w:sz w:val="17"/>
                </w:rPr>
                <w:t>tengan</w:t>
              </w:r>
            </w:hyperlink>
            <w:r>
              <w:rPr>
                <w:sz w:val="17"/>
              </w:rPr>
              <w:t> </w:t>
            </w:r>
            <w:hyperlink w:history="true" w:anchor="_bookmark46">
              <w:r>
                <w:rPr>
                  <w:sz w:val="17"/>
                </w:rPr>
                <w:t>fines análogos a los de la Real Academia Española.</w:t>
              </w:r>
              <w:r>
                <w:rPr>
                  <w:spacing w:val="-6"/>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z w:val="17"/>
                </w:rPr>
                <w:t>. </w:t>
              </w:r>
            </w:hyperlink>
          </w:p>
        </w:tc>
        <w:tc>
          <w:tcPr>
            <w:tcW w:w="394" w:type="dxa"/>
          </w:tcPr>
          <w:p>
            <w:pPr>
              <w:pStyle w:val="TableParagraph"/>
              <w:spacing w:before="0"/>
              <w:jc w:val="left"/>
              <w:rPr>
                <w:sz w:val="17"/>
              </w:rPr>
            </w:pPr>
          </w:p>
          <w:p>
            <w:pPr>
              <w:pStyle w:val="TableParagraph"/>
              <w:spacing w:before="0"/>
              <w:jc w:val="left"/>
              <w:rPr>
                <w:sz w:val="17"/>
              </w:rPr>
            </w:pPr>
          </w:p>
          <w:p>
            <w:pPr>
              <w:pStyle w:val="TableParagraph"/>
              <w:spacing w:before="17"/>
              <w:jc w:val="left"/>
              <w:rPr>
                <w:sz w:val="17"/>
              </w:rPr>
            </w:pPr>
          </w:p>
          <w:p>
            <w:pPr>
              <w:pStyle w:val="TableParagraph"/>
              <w:spacing w:before="0"/>
              <w:ind w:left="99"/>
              <w:jc w:val="center"/>
              <w:rPr>
                <w:sz w:val="17"/>
              </w:rPr>
            </w:pPr>
            <w:hyperlink w:history="true" w:anchor="_bookmark46">
              <w:r>
                <w:rPr>
                  <w:spacing w:val="-5"/>
                  <w:sz w:val="17"/>
                </w:rPr>
                <w:t>26</w:t>
              </w:r>
            </w:hyperlink>
          </w:p>
        </w:tc>
      </w:tr>
      <w:tr>
        <w:trPr>
          <w:trHeight w:val="440" w:hRule="atLeast"/>
        </w:trPr>
        <w:tc>
          <w:tcPr>
            <w:tcW w:w="9117" w:type="dxa"/>
          </w:tcPr>
          <w:p>
            <w:pPr>
              <w:pStyle w:val="TableParagraph"/>
              <w:ind w:right="148"/>
              <w:rPr>
                <w:sz w:val="17"/>
              </w:rPr>
            </w:pPr>
            <w:hyperlink w:history="true" w:anchor="_bookmark47">
              <w:r>
                <w:rPr>
                  <w:sz w:val="17"/>
                </w:rPr>
                <w:t>Disposición</w:t>
              </w:r>
              <w:r>
                <w:rPr>
                  <w:spacing w:val="4"/>
                  <w:sz w:val="17"/>
                </w:rPr>
                <w:t> </w:t>
              </w:r>
              <w:r>
                <w:rPr>
                  <w:sz w:val="17"/>
                </w:rPr>
                <w:t>adicional</w:t>
              </w:r>
              <w:r>
                <w:rPr>
                  <w:spacing w:val="4"/>
                  <w:sz w:val="17"/>
                </w:rPr>
                <w:t> </w:t>
              </w:r>
              <w:r>
                <w:rPr>
                  <w:sz w:val="17"/>
                </w:rPr>
                <w:t>decimoprimera.</w:t>
              </w:r>
              <w:r>
                <w:rPr>
                  <w:spacing w:val="4"/>
                  <w:sz w:val="17"/>
                </w:rPr>
                <w:t> </w:t>
              </w:r>
              <w:r>
                <w:rPr>
                  <w:sz w:val="17"/>
                </w:rPr>
                <w:t>Obra</w:t>
              </w:r>
              <w:r>
                <w:rPr>
                  <w:spacing w:val="4"/>
                  <w:sz w:val="17"/>
                </w:rPr>
                <w:t> </w:t>
              </w:r>
              <w:r>
                <w:rPr>
                  <w:sz w:val="17"/>
                </w:rPr>
                <w:t>social</w:t>
              </w:r>
              <w:r>
                <w:rPr>
                  <w:spacing w:val="4"/>
                  <w:sz w:val="17"/>
                </w:rPr>
                <w:t> </w:t>
              </w:r>
              <w:r>
                <w:rPr>
                  <w:sz w:val="17"/>
                </w:rPr>
                <w:t>de</w:t>
              </w:r>
              <w:r>
                <w:rPr>
                  <w:spacing w:val="4"/>
                  <w:sz w:val="17"/>
                </w:rPr>
                <w:t> </w:t>
              </w:r>
              <w:r>
                <w:rPr>
                  <w:sz w:val="17"/>
                </w:rPr>
                <w:t>las</w:t>
              </w:r>
              <w:r>
                <w:rPr>
                  <w:spacing w:val="4"/>
                  <w:sz w:val="17"/>
                </w:rPr>
                <w:t> </w:t>
              </w:r>
              <w:r>
                <w:rPr>
                  <w:sz w:val="17"/>
                </w:rPr>
                <w:t>cajas</w:t>
              </w:r>
              <w:r>
                <w:rPr>
                  <w:spacing w:val="5"/>
                  <w:sz w:val="17"/>
                </w:rPr>
                <w:t> </w:t>
              </w:r>
              <w:r>
                <w:rPr>
                  <w:sz w:val="17"/>
                </w:rPr>
                <w:t>de</w:t>
              </w:r>
              <w:r>
                <w:rPr>
                  <w:spacing w:val="4"/>
                  <w:sz w:val="17"/>
                </w:rPr>
                <w:t> </w:t>
              </w:r>
              <w:r>
                <w:rPr>
                  <w:sz w:val="17"/>
                </w:rPr>
                <w:t>ahorro.</w:t>
              </w:r>
              <w:r>
                <w:rPr>
                  <w:spacing w:val="30"/>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47">
              <w:r>
                <w:rPr>
                  <w:spacing w:val="-5"/>
                  <w:sz w:val="17"/>
                </w:rPr>
                <w:t>26</w:t>
              </w:r>
            </w:hyperlink>
          </w:p>
        </w:tc>
      </w:tr>
      <w:tr>
        <w:trPr>
          <w:trHeight w:val="680" w:hRule="atLeast"/>
        </w:trPr>
        <w:tc>
          <w:tcPr>
            <w:tcW w:w="9117" w:type="dxa"/>
          </w:tcPr>
          <w:p>
            <w:pPr>
              <w:pStyle w:val="TableParagraph"/>
              <w:spacing w:line="295" w:lineRule="auto"/>
              <w:ind w:left="1050" w:right="124" w:hanging="201"/>
              <w:jc w:val="left"/>
              <w:rPr>
                <w:sz w:val="17"/>
              </w:rPr>
            </w:pPr>
            <w:hyperlink w:history="true" w:anchor="_bookmark48">
              <w:r>
                <w:rPr>
                  <w:sz w:val="17"/>
                </w:rPr>
                <w:t>Disposición</w:t>
              </w:r>
              <w:r>
                <w:rPr>
                  <w:spacing w:val="40"/>
                  <w:sz w:val="17"/>
                </w:rPr>
                <w:t> </w:t>
              </w:r>
              <w:r>
                <w:rPr>
                  <w:sz w:val="17"/>
                </w:rPr>
                <w:t>adicional</w:t>
              </w:r>
              <w:r>
                <w:rPr>
                  <w:spacing w:val="40"/>
                  <w:sz w:val="17"/>
                </w:rPr>
                <w:t> </w:t>
              </w:r>
              <w:r>
                <w:rPr>
                  <w:sz w:val="17"/>
                </w:rPr>
                <w:t>decimosegunda.</w:t>
              </w:r>
              <w:r>
                <w:rPr>
                  <w:spacing w:val="40"/>
                  <w:sz w:val="17"/>
                </w:rPr>
                <w:t> </w:t>
              </w:r>
              <w:r>
                <w:rPr>
                  <w:sz w:val="17"/>
                </w:rPr>
                <w:t>Federaciones</w:t>
              </w:r>
              <w:r>
                <w:rPr>
                  <w:spacing w:val="40"/>
                  <w:sz w:val="17"/>
                </w:rPr>
                <w:t> </w:t>
              </w:r>
              <w:r>
                <w:rPr>
                  <w:sz w:val="17"/>
                </w:rPr>
                <w:t>deportivas,</w:t>
              </w:r>
              <w:r>
                <w:rPr>
                  <w:spacing w:val="40"/>
                  <w:sz w:val="17"/>
                </w:rPr>
                <w:t> </w:t>
              </w:r>
              <w:r>
                <w:rPr>
                  <w:sz w:val="17"/>
                </w:rPr>
                <w:t>Comité</w:t>
              </w:r>
              <w:r>
                <w:rPr>
                  <w:spacing w:val="40"/>
                  <w:sz w:val="17"/>
                </w:rPr>
                <w:t> </w:t>
              </w:r>
              <w:r>
                <w:rPr>
                  <w:sz w:val="17"/>
                </w:rPr>
                <w:t>Olímpico</w:t>
              </w:r>
              <w:r>
                <w:rPr>
                  <w:spacing w:val="40"/>
                  <w:sz w:val="17"/>
                </w:rPr>
                <w:t> </w:t>
              </w:r>
              <w:r>
                <w:rPr>
                  <w:sz w:val="17"/>
                </w:rPr>
                <w:t>Español</w:t>
              </w:r>
              <w:r>
                <w:rPr>
                  <w:spacing w:val="40"/>
                  <w:sz w:val="17"/>
                </w:rPr>
                <w:t> </w:t>
              </w:r>
              <w:r>
                <w:rPr>
                  <w:sz w:val="17"/>
                </w:rPr>
                <w:t>y</w:t>
              </w:r>
              <w:r>
                <w:rPr>
                  <w:spacing w:val="40"/>
                  <w:sz w:val="17"/>
                </w:rPr>
                <w:t> </w:t>
              </w:r>
              <w:r>
                <w:rPr>
                  <w:sz w:val="17"/>
                </w:rPr>
                <w:t>Comité</w:t>
              </w:r>
            </w:hyperlink>
            <w:r>
              <w:rPr>
                <w:sz w:val="17"/>
              </w:rPr>
              <w:t> </w:t>
            </w:r>
            <w:hyperlink w:history="true" w:anchor="_bookmark48">
              <w:r>
                <w:rPr>
                  <w:sz w:val="17"/>
                </w:rPr>
                <w:t>Paralímpico</w:t>
              </w:r>
              <w:r>
                <w:rPr>
                  <w:spacing w:val="2"/>
                  <w:sz w:val="17"/>
                </w:rPr>
                <w:t> </w:t>
              </w:r>
              <w:r>
                <w:rPr>
                  <w:sz w:val="17"/>
                </w:rPr>
                <w:t>Español.</w:t>
              </w:r>
              <w:r>
                <w:rPr>
                  <w:spacing w:val="-26"/>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10"/>
                  <w:sz w:val="17"/>
                </w:rPr>
                <w:t>.</w:t>
              </w:r>
              <w:r>
                <w:rPr>
                  <w:sz w:val="17"/>
                </w:rPr>
                <w:t> </w:t>
              </w:r>
            </w:hyperlink>
          </w:p>
        </w:tc>
        <w:tc>
          <w:tcPr>
            <w:tcW w:w="394" w:type="dxa"/>
          </w:tcPr>
          <w:p>
            <w:pPr>
              <w:pStyle w:val="TableParagraph"/>
              <w:spacing w:before="168"/>
              <w:jc w:val="left"/>
              <w:rPr>
                <w:sz w:val="17"/>
              </w:rPr>
            </w:pPr>
          </w:p>
          <w:p>
            <w:pPr>
              <w:pStyle w:val="TableParagraph"/>
              <w:spacing w:before="0"/>
              <w:ind w:left="99"/>
              <w:jc w:val="center"/>
              <w:rPr>
                <w:sz w:val="17"/>
              </w:rPr>
            </w:pPr>
            <w:hyperlink w:history="true" w:anchor="_bookmark48">
              <w:r>
                <w:rPr>
                  <w:spacing w:val="-5"/>
                  <w:sz w:val="17"/>
                </w:rPr>
                <w:t>27</w:t>
              </w:r>
            </w:hyperlink>
          </w:p>
        </w:tc>
      </w:tr>
      <w:tr>
        <w:trPr>
          <w:trHeight w:val="440" w:hRule="atLeast"/>
        </w:trPr>
        <w:tc>
          <w:tcPr>
            <w:tcW w:w="9117" w:type="dxa"/>
          </w:tcPr>
          <w:p>
            <w:pPr>
              <w:pStyle w:val="TableParagraph"/>
              <w:ind w:right="149"/>
              <w:rPr>
                <w:sz w:val="17"/>
              </w:rPr>
            </w:pPr>
            <w:hyperlink w:history="true" w:anchor="_bookmark49">
              <w:r>
                <w:rPr>
                  <w:sz w:val="17"/>
                </w:rPr>
                <w:t>Disposición</w:t>
              </w:r>
              <w:r>
                <w:rPr>
                  <w:spacing w:val="9"/>
                  <w:sz w:val="17"/>
                </w:rPr>
                <w:t> </w:t>
              </w:r>
              <w:r>
                <w:rPr>
                  <w:sz w:val="17"/>
                </w:rPr>
                <w:t>adicional</w:t>
              </w:r>
              <w:r>
                <w:rPr>
                  <w:spacing w:val="9"/>
                  <w:sz w:val="17"/>
                </w:rPr>
                <w:t> </w:t>
              </w:r>
              <w:r>
                <w:rPr>
                  <w:sz w:val="17"/>
                </w:rPr>
                <w:t>decimotercera.</w:t>
              </w:r>
              <w:r>
                <w:rPr>
                  <w:spacing w:val="9"/>
                  <w:sz w:val="17"/>
                </w:rPr>
                <w:t> </w:t>
              </w:r>
              <w:r>
                <w:rPr>
                  <w:sz w:val="17"/>
                </w:rPr>
                <w:t>Régimen</w:t>
              </w:r>
              <w:r>
                <w:rPr>
                  <w:spacing w:val="9"/>
                  <w:sz w:val="17"/>
                </w:rPr>
                <w:t> </w:t>
              </w:r>
              <w:r>
                <w:rPr>
                  <w:sz w:val="17"/>
                </w:rPr>
                <w:t>tributario</w:t>
              </w:r>
              <w:r>
                <w:rPr>
                  <w:spacing w:val="9"/>
                  <w:sz w:val="17"/>
                </w:rPr>
                <w:t> </w:t>
              </w:r>
              <w:r>
                <w:rPr>
                  <w:sz w:val="17"/>
                </w:rPr>
                <w:t>de</w:t>
              </w:r>
              <w:r>
                <w:rPr>
                  <w:spacing w:val="9"/>
                  <w:sz w:val="17"/>
                </w:rPr>
                <w:t> </w:t>
              </w:r>
              <w:r>
                <w:rPr>
                  <w:sz w:val="17"/>
                </w:rPr>
                <w:t>las</w:t>
              </w:r>
              <w:r>
                <w:rPr>
                  <w:spacing w:val="9"/>
                  <w:sz w:val="17"/>
                </w:rPr>
                <w:t> </w:t>
              </w:r>
              <w:r>
                <w:rPr>
                  <w:sz w:val="17"/>
                </w:rPr>
                <w:t>entidades</w:t>
              </w:r>
              <w:r>
                <w:rPr>
                  <w:spacing w:val="9"/>
                  <w:sz w:val="17"/>
                </w:rPr>
                <w:t> </w:t>
              </w:r>
              <w:r>
                <w:rPr>
                  <w:sz w:val="17"/>
                </w:rPr>
                <w:t>benéficas</w:t>
              </w:r>
              <w:r>
                <w:rPr>
                  <w:spacing w:val="9"/>
                  <w:sz w:val="17"/>
                </w:rPr>
                <w:t> </w:t>
              </w:r>
              <w:r>
                <w:rPr>
                  <w:sz w:val="17"/>
                </w:rPr>
                <w:t>de</w:t>
              </w:r>
              <w:r>
                <w:rPr>
                  <w:spacing w:val="9"/>
                  <w:sz w:val="17"/>
                </w:rPr>
                <w:t> </w:t>
              </w:r>
              <w:r>
                <w:rPr>
                  <w:sz w:val="17"/>
                </w:rPr>
                <w:t>construcción.</w:t>
              </w:r>
            </w:hyperlink>
            <w:r>
              <w:rPr>
                <w:spacing w:val="60"/>
                <w:w w:val="150"/>
                <w:sz w:val="17"/>
              </w:rPr>
              <w:t> </w:t>
            </w:r>
            <w:r>
              <w:rPr>
                <w:spacing w:val="24"/>
                <w:sz w:val="17"/>
              </w:rPr>
              <w:t>.</w:t>
            </w:r>
            <w:r>
              <w:rPr>
                <w:spacing w:val="8"/>
                <w:sz w:val="17"/>
              </w:rPr>
              <w:t> </w:t>
            </w:r>
            <w:r>
              <w:rPr>
                <w:spacing w:val="-10"/>
                <w:sz w:val="17"/>
              </w:rPr>
              <w:t>.</w:t>
            </w:r>
            <w:r>
              <w:rPr>
                <w:sz w:val="17"/>
              </w:rPr>
              <w:t> </w:t>
            </w:r>
          </w:p>
        </w:tc>
        <w:tc>
          <w:tcPr>
            <w:tcW w:w="394" w:type="dxa"/>
          </w:tcPr>
          <w:p>
            <w:pPr>
              <w:pStyle w:val="TableParagraph"/>
              <w:spacing w:before="123"/>
              <w:ind w:left="99"/>
              <w:jc w:val="center"/>
              <w:rPr>
                <w:sz w:val="17"/>
              </w:rPr>
            </w:pPr>
            <w:hyperlink w:history="true" w:anchor="_bookmark49">
              <w:r>
                <w:rPr>
                  <w:spacing w:val="-5"/>
                  <w:sz w:val="17"/>
                </w:rPr>
                <w:t>27</w:t>
              </w:r>
            </w:hyperlink>
          </w:p>
        </w:tc>
      </w:tr>
      <w:tr>
        <w:trPr>
          <w:trHeight w:val="440" w:hRule="atLeast"/>
        </w:trPr>
        <w:tc>
          <w:tcPr>
            <w:tcW w:w="9117" w:type="dxa"/>
          </w:tcPr>
          <w:p>
            <w:pPr>
              <w:pStyle w:val="TableParagraph"/>
              <w:ind w:right="148"/>
              <w:rPr>
                <w:sz w:val="17"/>
              </w:rPr>
            </w:pPr>
            <w:hyperlink w:history="true" w:anchor="_bookmark50">
              <w:r>
                <w:rPr>
                  <w:sz w:val="17"/>
                </w:rPr>
                <w:t>Disposición</w:t>
              </w:r>
              <w:r>
                <w:rPr>
                  <w:spacing w:val="3"/>
                  <w:sz w:val="17"/>
                </w:rPr>
                <w:t> </w:t>
              </w:r>
              <w:r>
                <w:rPr>
                  <w:sz w:val="17"/>
                </w:rPr>
                <w:t>adicional</w:t>
              </w:r>
              <w:r>
                <w:rPr>
                  <w:spacing w:val="4"/>
                  <w:sz w:val="17"/>
                </w:rPr>
                <w:t> </w:t>
              </w:r>
              <w:r>
                <w:rPr>
                  <w:sz w:val="17"/>
                </w:rPr>
                <w:t>decimocuarta.</w:t>
              </w:r>
              <w:r>
                <w:rPr>
                  <w:spacing w:val="4"/>
                  <w:sz w:val="17"/>
                </w:rPr>
                <w:t> </w:t>
              </w:r>
              <w:r>
                <w:rPr>
                  <w:sz w:val="17"/>
                </w:rPr>
                <w:t>Consultas</w:t>
              </w:r>
              <w:r>
                <w:rPr>
                  <w:spacing w:val="4"/>
                  <w:sz w:val="17"/>
                </w:rPr>
                <w:t> </w:t>
              </w:r>
              <w:r>
                <w:rPr>
                  <w:sz w:val="17"/>
                </w:rPr>
                <w:t>vinculantes.</w:t>
              </w:r>
              <w:r>
                <w:rPr>
                  <w:spacing w:val="9"/>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50">
              <w:r>
                <w:rPr>
                  <w:spacing w:val="-5"/>
                  <w:sz w:val="17"/>
                </w:rPr>
                <w:t>27</w:t>
              </w:r>
            </w:hyperlink>
          </w:p>
        </w:tc>
      </w:tr>
      <w:tr>
        <w:trPr>
          <w:trHeight w:val="680" w:hRule="atLeast"/>
        </w:trPr>
        <w:tc>
          <w:tcPr>
            <w:tcW w:w="9117" w:type="dxa"/>
          </w:tcPr>
          <w:p>
            <w:pPr>
              <w:pStyle w:val="TableParagraph"/>
              <w:spacing w:line="295" w:lineRule="auto"/>
              <w:ind w:left="1049" w:right="124" w:hanging="200"/>
              <w:jc w:val="left"/>
              <w:rPr>
                <w:sz w:val="17"/>
              </w:rPr>
            </w:pPr>
            <w:hyperlink w:history="true" w:anchor="_bookmark51">
              <w:r>
                <w:rPr>
                  <w:sz w:val="17"/>
                </w:rPr>
                <w:t>Disposición</w:t>
              </w:r>
              <w:r>
                <w:rPr>
                  <w:spacing w:val="40"/>
                  <w:sz w:val="17"/>
                </w:rPr>
                <w:t> </w:t>
              </w:r>
              <w:r>
                <w:rPr>
                  <w:sz w:val="17"/>
                </w:rPr>
                <w:t>adicional</w:t>
              </w:r>
              <w:r>
                <w:rPr>
                  <w:spacing w:val="40"/>
                  <w:sz w:val="17"/>
                </w:rPr>
                <w:t> </w:t>
              </w:r>
              <w:r>
                <w:rPr>
                  <w:sz w:val="17"/>
                </w:rPr>
                <w:t>decimoquinta.</w:t>
              </w:r>
              <w:r>
                <w:rPr>
                  <w:spacing w:val="40"/>
                  <w:sz w:val="17"/>
                </w:rPr>
                <w:t> </w:t>
              </w:r>
              <w:r>
                <w:rPr>
                  <w:sz w:val="17"/>
                </w:rPr>
                <w:t>Ciudades,</w:t>
              </w:r>
              <w:r>
                <w:rPr>
                  <w:spacing w:val="40"/>
                  <w:sz w:val="17"/>
                </w:rPr>
                <w:t> </w:t>
              </w:r>
              <w:r>
                <w:rPr>
                  <w:sz w:val="17"/>
                </w:rPr>
                <w:t>conjuntos</w:t>
              </w:r>
              <w:r>
                <w:rPr>
                  <w:spacing w:val="40"/>
                  <w:sz w:val="17"/>
                </w:rPr>
                <w:t> </w:t>
              </w:r>
              <w:r>
                <w:rPr>
                  <w:sz w:val="17"/>
                </w:rPr>
                <w:t>y</w:t>
              </w:r>
              <w:r>
                <w:rPr>
                  <w:spacing w:val="40"/>
                  <w:sz w:val="17"/>
                </w:rPr>
                <w:t> </w:t>
              </w:r>
              <w:r>
                <w:rPr>
                  <w:sz w:val="17"/>
                </w:rPr>
                <w:t>bienes</w:t>
              </w:r>
              <w:r>
                <w:rPr>
                  <w:spacing w:val="40"/>
                  <w:sz w:val="17"/>
                </w:rPr>
                <w:t> </w:t>
              </w:r>
              <w:r>
                <w:rPr>
                  <w:sz w:val="17"/>
                </w:rPr>
                <w:t>declarados</w:t>
              </w:r>
              <w:r>
                <w:rPr>
                  <w:spacing w:val="40"/>
                  <w:sz w:val="17"/>
                </w:rPr>
                <w:t> </w:t>
              </w:r>
              <w:r>
                <w:rPr>
                  <w:sz w:val="17"/>
                </w:rPr>
                <w:t>Patrimonio</w:t>
              </w:r>
              <w:r>
                <w:rPr>
                  <w:spacing w:val="40"/>
                  <w:sz w:val="17"/>
                </w:rPr>
                <w:t> </w:t>
              </w:r>
              <w:r>
                <w:rPr>
                  <w:sz w:val="17"/>
                </w:rPr>
                <w:t>Mundial</w:t>
              </w:r>
              <w:r>
                <w:rPr>
                  <w:spacing w:val="40"/>
                  <w:sz w:val="17"/>
                </w:rPr>
                <w:t> </w:t>
              </w:r>
              <w:r>
                <w:rPr>
                  <w:sz w:val="17"/>
                </w:rPr>
                <w:t>por</w:t>
              </w:r>
            </w:hyperlink>
            <w:r>
              <w:rPr>
                <w:sz w:val="17"/>
              </w:rPr>
              <w:t> </w:t>
            </w:r>
            <w:hyperlink w:history="true" w:anchor="_bookmark51">
              <w:r>
                <w:rPr>
                  <w:sz w:val="17"/>
                </w:rPr>
                <w:t>la</w:t>
              </w:r>
              <w:r>
                <w:rPr>
                  <w:spacing w:val="2"/>
                  <w:sz w:val="17"/>
                </w:rPr>
                <w:t> </w:t>
              </w:r>
              <w:r>
                <w:rPr>
                  <w:sz w:val="17"/>
                </w:rPr>
                <w:t>Unesco</w:t>
              </w:r>
              <w:r>
                <w:rPr>
                  <w:spacing w:val="3"/>
                  <w:sz w:val="17"/>
                </w:rPr>
                <w:t> </w:t>
              </w:r>
              <w:r>
                <w:rPr>
                  <w:sz w:val="17"/>
                </w:rPr>
                <w:t>situados</w:t>
              </w:r>
              <w:r>
                <w:rPr>
                  <w:spacing w:val="2"/>
                  <w:sz w:val="17"/>
                </w:rPr>
                <w:t> </w:t>
              </w:r>
              <w:r>
                <w:rPr>
                  <w:sz w:val="17"/>
                </w:rPr>
                <w:t>en</w:t>
              </w:r>
              <w:r>
                <w:rPr>
                  <w:spacing w:val="3"/>
                  <w:sz w:val="17"/>
                </w:rPr>
                <w:t> </w:t>
              </w:r>
              <w:r>
                <w:rPr>
                  <w:sz w:val="17"/>
                </w:rPr>
                <w:t>España.</w:t>
              </w:r>
              <w:r>
                <w:rPr>
                  <w:spacing w:val="58"/>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10"/>
                  <w:sz w:val="17"/>
                </w:rPr>
                <w:t>.</w:t>
              </w:r>
              <w:r>
                <w:rPr>
                  <w:sz w:val="17"/>
                </w:rPr>
                <w:t> </w:t>
              </w:r>
            </w:hyperlink>
          </w:p>
        </w:tc>
        <w:tc>
          <w:tcPr>
            <w:tcW w:w="394" w:type="dxa"/>
          </w:tcPr>
          <w:p>
            <w:pPr>
              <w:pStyle w:val="TableParagraph"/>
              <w:spacing w:before="168"/>
              <w:jc w:val="left"/>
              <w:rPr>
                <w:sz w:val="17"/>
              </w:rPr>
            </w:pPr>
          </w:p>
          <w:p>
            <w:pPr>
              <w:pStyle w:val="TableParagraph"/>
              <w:spacing w:before="0"/>
              <w:ind w:left="99"/>
              <w:jc w:val="center"/>
              <w:rPr>
                <w:sz w:val="17"/>
              </w:rPr>
            </w:pPr>
            <w:hyperlink w:history="true" w:anchor="_bookmark51">
              <w:r>
                <w:rPr>
                  <w:spacing w:val="-5"/>
                  <w:sz w:val="17"/>
                </w:rPr>
                <w:t>27</w:t>
              </w:r>
            </w:hyperlink>
          </w:p>
        </w:tc>
      </w:tr>
      <w:tr>
        <w:trPr>
          <w:trHeight w:val="440" w:hRule="atLeast"/>
        </w:trPr>
        <w:tc>
          <w:tcPr>
            <w:tcW w:w="9117" w:type="dxa"/>
          </w:tcPr>
          <w:p>
            <w:pPr>
              <w:pStyle w:val="TableParagraph"/>
              <w:ind w:right="148"/>
              <w:rPr>
                <w:sz w:val="17"/>
              </w:rPr>
            </w:pPr>
            <w:hyperlink w:history="true" w:anchor="_bookmark52">
              <w:r>
                <w:rPr>
                  <w:sz w:val="17"/>
                </w:rPr>
                <w:t>Disposición</w:t>
              </w:r>
              <w:r>
                <w:rPr>
                  <w:spacing w:val="3"/>
                  <w:sz w:val="17"/>
                </w:rPr>
                <w:t> </w:t>
              </w:r>
              <w:r>
                <w:rPr>
                  <w:sz w:val="17"/>
                </w:rPr>
                <w:t>adicional</w:t>
              </w:r>
              <w:r>
                <w:rPr>
                  <w:spacing w:val="4"/>
                  <w:sz w:val="17"/>
                </w:rPr>
                <w:t> </w:t>
              </w:r>
              <w:r>
                <w:rPr>
                  <w:sz w:val="17"/>
                </w:rPr>
                <w:t>decimosexta.</w:t>
              </w:r>
              <w:r>
                <w:rPr>
                  <w:spacing w:val="3"/>
                  <w:sz w:val="17"/>
                </w:rPr>
                <w:t> </w:t>
              </w:r>
              <w:r>
                <w:rPr>
                  <w:sz w:val="17"/>
                </w:rPr>
                <w:t>Haciendas</w:t>
              </w:r>
              <w:r>
                <w:rPr>
                  <w:spacing w:val="4"/>
                  <w:sz w:val="17"/>
                </w:rPr>
                <w:t> </w:t>
              </w:r>
              <w:r>
                <w:rPr>
                  <w:sz w:val="17"/>
                </w:rPr>
                <w:t>locales.</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52">
              <w:r>
                <w:rPr>
                  <w:spacing w:val="-5"/>
                  <w:sz w:val="17"/>
                </w:rPr>
                <w:t>27</w:t>
              </w:r>
            </w:hyperlink>
          </w:p>
        </w:tc>
      </w:tr>
      <w:tr>
        <w:trPr>
          <w:trHeight w:val="440" w:hRule="atLeast"/>
        </w:trPr>
        <w:tc>
          <w:tcPr>
            <w:tcW w:w="9117" w:type="dxa"/>
          </w:tcPr>
          <w:p>
            <w:pPr>
              <w:pStyle w:val="TableParagraph"/>
              <w:ind w:right="148"/>
              <w:rPr>
                <w:sz w:val="17"/>
              </w:rPr>
            </w:pPr>
            <w:hyperlink w:history="true" w:anchor="_bookmark53">
              <w:r>
                <w:rPr>
                  <w:sz w:val="17"/>
                </w:rPr>
                <w:t>Disposición</w:t>
              </w:r>
              <w:r>
                <w:rPr>
                  <w:spacing w:val="4"/>
                  <w:sz w:val="17"/>
                </w:rPr>
                <w:t> </w:t>
              </w:r>
              <w:r>
                <w:rPr>
                  <w:sz w:val="17"/>
                </w:rPr>
                <w:t>adicional</w:t>
              </w:r>
              <w:r>
                <w:rPr>
                  <w:spacing w:val="4"/>
                  <w:sz w:val="17"/>
                </w:rPr>
                <w:t> </w:t>
              </w:r>
              <w:r>
                <w:rPr>
                  <w:sz w:val="17"/>
                </w:rPr>
                <w:t>decimoséptima.</w:t>
              </w:r>
              <w:r>
                <w:rPr>
                  <w:spacing w:val="4"/>
                  <w:sz w:val="17"/>
                </w:rPr>
                <w:t> </w:t>
              </w:r>
              <w:r>
                <w:rPr>
                  <w:sz w:val="17"/>
                </w:rPr>
                <w:t>Remisiones</w:t>
              </w:r>
              <w:r>
                <w:rPr>
                  <w:spacing w:val="4"/>
                  <w:sz w:val="17"/>
                </w:rPr>
                <w:t> </w:t>
              </w:r>
              <w:r>
                <w:rPr>
                  <w:sz w:val="17"/>
                </w:rPr>
                <w:t>normativas.</w:t>
              </w:r>
              <w:r>
                <w:rPr>
                  <w:spacing w:val="6"/>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53">
              <w:r>
                <w:rPr>
                  <w:spacing w:val="-5"/>
                  <w:sz w:val="17"/>
                </w:rPr>
                <w:t>27</w:t>
              </w:r>
            </w:hyperlink>
          </w:p>
        </w:tc>
      </w:tr>
      <w:tr>
        <w:trPr>
          <w:trHeight w:val="440" w:hRule="atLeast"/>
        </w:trPr>
        <w:tc>
          <w:tcPr>
            <w:tcW w:w="9117" w:type="dxa"/>
          </w:tcPr>
          <w:p>
            <w:pPr>
              <w:pStyle w:val="TableParagraph"/>
              <w:ind w:right="149"/>
              <w:rPr>
                <w:sz w:val="17"/>
              </w:rPr>
            </w:pPr>
            <w:hyperlink w:history="true" w:anchor="_bookmark54">
              <w:r>
                <w:rPr>
                  <w:sz w:val="17"/>
                </w:rPr>
                <w:t>Disposición</w:t>
              </w:r>
              <w:r>
                <w:rPr>
                  <w:spacing w:val="4"/>
                  <w:sz w:val="17"/>
                </w:rPr>
                <w:t> </w:t>
              </w:r>
              <w:r>
                <w:rPr>
                  <w:sz w:val="17"/>
                </w:rPr>
                <w:t>adicional</w:t>
              </w:r>
              <w:r>
                <w:rPr>
                  <w:spacing w:val="5"/>
                  <w:sz w:val="17"/>
                </w:rPr>
                <w:t> </w:t>
              </w:r>
              <w:r>
                <w:rPr>
                  <w:sz w:val="17"/>
                </w:rPr>
                <w:t>decimoctava.</w:t>
              </w:r>
              <w:r>
                <w:rPr>
                  <w:spacing w:val="5"/>
                  <w:sz w:val="17"/>
                </w:rPr>
                <w:t> </w:t>
              </w:r>
              <w:r>
                <w:rPr>
                  <w:sz w:val="17"/>
                </w:rPr>
                <w:t>Régimen</w:t>
              </w:r>
              <w:r>
                <w:rPr>
                  <w:spacing w:val="5"/>
                  <w:sz w:val="17"/>
                </w:rPr>
                <w:t> </w:t>
              </w:r>
              <w:r>
                <w:rPr>
                  <w:sz w:val="17"/>
                </w:rPr>
                <w:t>tributario</w:t>
              </w:r>
              <w:r>
                <w:rPr>
                  <w:spacing w:val="5"/>
                  <w:sz w:val="17"/>
                </w:rPr>
                <w:t> </w:t>
              </w:r>
              <w:r>
                <w:rPr>
                  <w:sz w:val="17"/>
                </w:rPr>
                <w:t>del</w:t>
              </w:r>
              <w:r>
                <w:rPr>
                  <w:spacing w:val="5"/>
                  <w:sz w:val="17"/>
                </w:rPr>
                <w:t> </w:t>
              </w:r>
              <w:r>
                <w:rPr>
                  <w:sz w:val="17"/>
                </w:rPr>
                <w:t>Museo</w:t>
              </w:r>
              <w:r>
                <w:rPr>
                  <w:spacing w:val="5"/>
                  <w:sz w:val="17"/>
                </w:rPr>
                <w:t> </w:t>
              </w:r>
              <w:r>
                <w:rPr>
                  <w:sz w:val="17"/>
                </w:rPr>
                <w:t>Nacional</w:t>
              </w:r>
              <w:r>
                <w:rPr>
                  <w:spacing w:val="5"/>
                  <w:sz w:val="17"/>
                </w:rPr>
                <w:t> </w:t>
              </w:r>
              <w:r>
                <w:rPr>
                  <w:sz w:val="17"/>
                </w:rPr>
                <w:t>del</w:t>
              </w:r>
              <w:r>
                <w:rPr>
                  <w:spacing w:val="5"/>
                  <w:sz w:val="17"/>
                </w:rPr>
                <w:t> </w:t>
              </w:r>
              <w:r>
                <w:rPr>
                  <w:sz w:val="17"/>
                </w:rPr>
                <w:t>Prado.</w:t>
              </w:r>
              <w:r>
                <w:rPr>
                  <w:spacing w:val="8"/>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3"/>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4"/>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54">
              <w:r>
                <w:rPr>
                  <w:spacing w:val="-5"/>
                  <w:sz w:val="17"/>
                </w:rPr>
                <w:t>28</w:t>
              </w:r>
            </w:hyperlink>
          </w:p>
        </w:tc>
      </w:tr>
      <w:tr>
        <w:trPr>
          <w:trHeight w:val="680" w:hRule="atLeast"/>
        </w:trPr>
        <w:tc>
          <w:tcPr>
            <w:tcW w:w="9117" w:type="dxa"/>
          </w:tcPr>
          <w:p>
            <w:pPr>
              <w:pStyle w:val="TableParagraph"/>
              <w:spacing w:line="295" w:lineRule="auto"/>
              <w:ind w:left="1049" w:right="124" w:hanging="201"/>
              <w:jc w:val="left"/>
              <w:rPr>
                <w:sz w:val="17"/>
              </w:rPr>
            </w:pPr>
            <w:hyperlink w:history="true" w:anchor="_bookmark55">
              <w:r>
                <w:rPr>
                  <w:sz w:val="17"/>
                </w:rPr>
                <w:t>Disposición</w:t>
              </w:r>
              <w:r>
                <w:rPr>
                  <w:spacing w:val="40"/>
                  <w:sz w:val="17"/>
                </w:rPr>
                <w:t> </w:t>
              </w:r>
              <w:r>
                <w:rPr>
                  <w:sz w:val="17"/>
                </w:rPr>
                <w:t>adicional</w:t>
              </w:r>
              <w:r>
                <w:rPr>
                  <w:spacing w:val="40"/>
                  <w:sz w:val="17"/>
                </w:rPr>
                <w:t> </w:t>
              </w:r>
              <w:r>
                <w:rPr>
                  <w:sz w:val="17"/>
                </w:rPr>
                <w:t>decimonovena.</w:t>
              </w:r>
              <w:r>
                <w:rPr>
                  <w:spacing w:val="40"/>
                  <w:sz w:val="17"/>
                </w:rPr>
                <w:t> </w:t>
              </w:r>
              <w:r>
                <w:rPr>
                  <w:sz w:val="17"/>
                </w:rPr>
                <w:t>Régimen</w:t>
              </w:r>
              <w:r>
                <w:rPr>
                  <w:spacing w:val="40"/>
                  <w:sz w:val="17"/>
                </w:rPr>
                <w:t> </w:t>
              </w:r>
              <w:r>
                <w:rPr>
                  <w:sz w:val="17"/>
                </w:rPr>
                <w:t>tributario</w:t>
              </w:r>
              <w:r>
                <w:rPr>
                  <w:spacing w:val="40"/>
                  <w:sz w:val="17"/>
                </w:rPr>
                <w:t> </w:t>
              </w:r>
              <w:r>
                <w:rPr>
                  <w:sz w:val="17"/>
                </w:rPr>
                <w:t>del</w:t>
              </w:r>
              <w:r>
                <w:rPr>
                  <w:spacing w:val="40"/>
                  <w:sz w:val="17"/>
                </w:rPr>
                <w:t> </w:t>
              </w:r>
              <w:r>
                <w:rPr>
                  <w:sz w:val="17"/>
                </w:rPr>
                <w:t>Museo</w:t>
              </w:r>
              <w:r>
                <w:rPr>
                  <w:spacing w:val="40"/>
                  <w:sz w:val="17"/>
                </w:rPr>
                <w:t> </w:t>
              </w:r>
              <w:r>
                <w:rPr>
                  <w:sz w:val="17"/>
                </w:rPr>
                <w:t>Nacional</w:t>
              </w:r>
              <w:r>
                <w:rPr>
                  <w:spacing w:val="40"/>
                  <w:sz w:val="17"/>
                </w:rPr>
                <w:t> </w:t>
              </w:r>
              <w:r>
                <w:rPr>
                  <w:sz w:val="17"/>
                </w:rPr>
                <w:t>Centro</w:t>
              </w:r>
              <w:r>
                <w:rPr>
                  <w:spacing w:val="40"/>
                  <w:sz w:val="17"/>
                </w:rPr>
                <w:t> </w:t>
              </w:r>
              <w:r>
                <w:rPr>
                  <w:sz w:val="17"/>
                </w:rPr>
                <w:t>de</w:t>
              </w:r>
              <w:r>
                <w:rPr>
                  <w:spacing w:val="40"/>
                  <w:sz w:val="17"/>
                </w:rPr>
                <w:t> </w:t>
              </w:r>
              <w:r>
                <w:rPr>
                  <w:sz w:val="17"/>
                </w:rPr>
                <w:t>Arte</w:t>
              </w:r>
              <w:r>
                <w:rPr>
                  <w:spacing w:val="40"/>
                  <w:sz w:val="17"/>
                </w:rPr>
                <w:t> </w:t>
              </w:r>
              <w:r>
                <w:rPr>
                  <w:sz w:val="17"/>
                </w:rPr>
                <w:t>Reina</w:t>
              </w:r>
            </w:hyperlink>
            <w:r>
              <w:rPr>
                <w:sz w:val="17"/>
              </w:rPr>
              <w:t> </w:t>
            </w:r>
            <w:hyperlink w:history="true" w:anchor="_bookmark55">
              <w:r>
                <w:rPr>
                  <w:sz w:val="17"/>
                </w:rPr>
                <w:t>Sofía..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z w:val="17"/>
                </w:rPr>
                <w:t>. </w:t>
              </w:r>
            </w:hyperlink>
          </w:p>
        </w:tc>
        <w:tc>
          <w:tcPr>
            <w:tcW w:w="394" w:type="dxa"/>
          </w:tcPr>
          <w:p>
            <w:pPr>
              <w:pStyle w:val="TableParagraph"/>
              <w:spacing w:before="168"/>
              <w:jc w:val="left"/>
              <w:rPr>
                <w:sz w:val="17"/>
              </w:rPr>
            </w:pPr>
          </w:p>
          <w:p>
            <w:pPr>
              <w:pStyle w:val="TableParagraph"/>
              <w:spacing w:before="0"/>
              <w:ind w:left="99"/>
              <w:jc w:val="center"/>
              <w:rPr>
                <w:sz w:val="17"/>
              </w:rPr>
            </w:pPr>
            <w:hyperlink w:history="true" w:anchor="_bookmark55">
              <w:r>
                <w:rPr>
                  <w:spacing w:val="-5"/>
                  <w:sz w:val="17"/>
                </w:rPr>
                <w:t>28</w:t>
              </w:r>
            </w:hyperlink>
          </w:p>
        </w:tc>
      </w:tr>
      <w:tr>
        <w:trPr>
          <w:trHeight w:val="457" w:hRule="atLeast"/>
        </w:trPr>
        <w:tc>
          <w:tcPr>
            <w:tcW w:w="9117" w:type="dxa"/>
          </w:tcPr>
          <w:p>
            <w:pPr>
              <w:pStyle w:val="TableParagraph"/>
              <w:ind w:right="147"/>
              <w:rPr>
                <w:i/>
                <w:sz w:val="17"/>
              </w:rPr>
            </w:pPr>
            <w:hyperlink w:history="true" w:anchor="_bookmark56">
              <w:r>
                <w:rPr>
                  <w:i/>
                  <w:sz w:val="17"/>
                </w:rPr>
                <w:t>Disposiciones</w:t>
              </w:r>
              <w:r>
                <w:rPr>
                  <w:i/>
                  <w:spacing w:val="2"/>
                  <w:sz w:val="17"/>
                </w:rPr>
                <w:t> </w:t>
              </w:r>
              <w:r>
                <w:rPr>
                  <w:i/>
                  <w:sz w:val="17"/>
                </w:rPr>
                <w:t>transitorias</w:t>
              </w:r>
              <w:r>
                <w:rPr>
                  <w:i/>
                  <w:spacing w:val="67"/>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10"/>
                  <w:sz w:val="17"/>
                </w:rPr>
                <w:t>.</w:t>
              </w:r>
              <w:r>
                <w:rPr>
                  <w:i/>
                  <w:sz w:val="17"/>
                </w:rPr>
                <w:t> </w:t>
              </w:r>
            </w:hyperlink>
          </w:p>
        </w:tc>
        <w:tc>
          <w:tcPr>
            <w:tcW w:w="394" w:type="dxa"/>
          </w:tcPr>
          <w:p>
            <w:pPr>
              <w:pStyle w:val="TableParagraph"/>
              <w:ind w:left="99"/>
              <w:jc w:val="center"/>
              <w:rPr>
                <w:sz w:val="17"/>
              </w:rPr>
            </w:pPr>
            <w:hyperlink w:history="true" w:anchor="_bookmark56">
              <w:r>
                <w:rPr>
                  <w:spacing w:val="-5"/>
                  <w:sz w:val="17"/>
                </w:rPr>
                <w:t>28</w:t>
              </w:r>
            </w:hyperlink>
          </w:p>
        </w:tc>
      </w:tr>
      <w:tr>
        <w:trPr>
          <w:trHeight w:val="942" w:hRule="atLeast"/>
        </w:trPr>
        <w:tc>
          <w:tcPr>
            <w:tcW w:w="9117" w:type="dxa"/>
          </w:tcPr>
          <w:p>
            <w:pPr>
              <w:pStyle w:val="TableParagraph"/>
              <w:spacing w:line="295" w:lineRule="auto" w:before="141"/>
              <w:ind w:left="1049" w:right="148" w:hanging="200"/>
              <w:jc w:val="both"/>
              <w:rPr>
                <w:sz w:val="17"/>
              </w:rPr>
            </w:pPr>
            <w:hyperlink w:history="true" w:anchor="_bookmark56">
              <w:r>
                <w:rPr>
                  <w:sz w:val="17"/>
                </w:rPr>
                <w:t>Disposición transitoria primera. Régimen transitorio de las exenciones concedidas al amparo de la Ley</w:t>
              </w:r>
            </w:hyperlink>
            <w:r>
              <w:rPr>
                <w:sz w:val="17"/>
              </w:rPr>
              <w:t> </w:t>
            </w:r>
            <w:hyperlink w:history="true" w:anchor="_bookmark56">
              <w:r>
                <w:rPr>
                  <w:sz w:val="17"/>
                </w:rPr>
                <w:t>30/1994, de 24 de noviembre, de Fundaciones y de Incentivos Fiscales a la Participación Privada en</w:t>
              </w:r>
            </w:hyperlink>
            <w:r>
              <w:rPr>
                <w:sz w:val="17"/>
              </w:rPr>
              <w:t> </w:t>
            </w:r>
            <w:hyperlink w:history="true" w:anchor="_bookmark56">
              <w:r>
                <w:rPr>
                  <w:sz w:val="17"/>
                </w:rPr>
                <w:t>Actividades de Interés General.</w:t>
              </w:r>
              <w:r>
                <w:rPr>
                  <w:spacing w:val="24"/>
                  <w:sz w:val="17"/>
                </w:rPr>
                <w:t> .</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pacing w:val="24"/>
                  <w:sz w:val="17"/>
                </w:rPr>
                <w:t>.</w:t>
              </w:r>
              <w:r>
                <w:rPr>
                  <w:spacing w:val="3"/>
                  <w:sz w:val="17"/>
                </w:rPr>
                <w:t> </w:t>
              </w:r>
              <w:r>
                <w:rPr>
                  <w:sz w:val="17"/>
                </w:rPr>
                <w:t>. </w:t>
              </w:r>
            </w:hyperlink>
          </w:p>
        </w:tc>
        <w:tc>
          <w:tcPr>
            <w:tcW w:w="394" w:type="dxa"/>
          </w:tcPr>
          <w:p>
            <w:pPr>
              <w:pStyle w:val="TableParagraph"/>
              <w:spacing w:before="0"/>
              <w:jc w:val="left"/>
              <w:rPr>
                <w:sz w:val="17"/>
              </w:rPr>
            </w:pPr>
          </w:p>
          <w:p>
            <w:pPr>
              <w:pStyle w:val="TableParagraph"/>
              <w:spacing w:before="0"/>
              <w:jc w:val="left"/>
              <w:rPr>
                <w:sz w:val="17"/>
              </w:rPr>
            </w:pPr>
          </w:p>
          <w:p>
            <w:pPr>
              <w:pStyle w:val="TableParagraph"/>
              <w:spacing w:before="39"/>
              <w:jc w:val="left"/>
              <w:rPr>
                <w:sz w:val="17"/>
              </w:rPr>
            </w:pPr>
          </w:p>
          <w:p>
            <w:pPr>
              <w:pStyle w:val="TableParagraph"/>
              <w:spacing w:before="0"/>
              <w:ind w:left="99"/>
              <w:jc w:val="center"/>
              <w:rPr>
                <w:sz w:val="17"/>
              </w:rPr>
            </w:pPr>
            <w:hyperlink w:history="true" w:anchor="_bookmark56">
              <w:r>
                <w:rPr>
                  <w:spacing w:val="-5"/>
                  <w:sz w:val="17"/>
                </w:rPr>
                <w:t>28</w:t>
              </w:r>
            </w:hyperlink>
          </w:p>
        </w:tc>
      </w:tr>
      <w:tr>
        <w:trPr>
          <w:trHeight w:val="680" w:hRule="atLeast"/>
        </w:trPr>
        <w:tc>
          <w:tcPr>
            <w:tcW w:w="9117" w:type="dxa"/>
          </w:tcPr>
          <w:p>
            <w:pPr>
              <w:pStyle w:val="TableParagraph"/>
              <w:spacing w:line="295" w:lineRule="auto"/>
              <w:ind w:left="1050" w:right="124" w:hanging="201"/>
              <w:jc w:val="left"/>
              <w:rPr>
                <w:sz w:val="17"/>
              </w:rPr>
            </w:pPr>
            <w:hyperlink w:history="true" w:anchor="_bookmark57">
              <w:r>
                <w:rPr>
                  <w:sz w:val="17"/>
                </w:rPr>
                <w:t>Disposición transitoria segunda. Régimen transitorio de los administradores de sociedades mercantiles</w:t>
              </w:r>
            </w:hyperlink>
            <w:r>
              <w:rPr>
                <w:spacing w:val="80"/>
                <w:sz w:val="17"/>
              </w:rPr>
              <w:t> </w:t>
            </w:r>
            <w:hyperlink w:history="true" w:anchor="_bookmark57">
              <w:r>
                <w:rPr>
                  <w:sz w:val="17"/>
                </w:rPr>
                <w:t>nombrados</w:t>
              </w:r>
              <w:r>
                <w:rPr>
                  <w:spacing w:val="3"/>
                  <w:sz w:val="17"/>
                </w:rPr>
                <w:t> </w:t>
              </w:r>
              <w:r>
                <w:rPr>
                  <w:sz w:val="17"/>
                </w:rPr>
                <w:t>por</w:t>
              </w:r>
              <w:r>
                <w:rPr>
                  <w:spacing w:val="3"/>
                  <w:sz w:val="17"/>
                </w:rPr>
                <w:t> </w:t>
              </w:r>
              <w:r>
                <w:rPr>
                  <w:sz w:val="17"/>
                </w:rPr>
                <w:t>entidades</w:t>
              </w:r>
              <w:r>
                <w:rPr>
                  <w:spacing w:val="3"/>
                  <w:sz w:val="17"/>
                </w:rPr>
                <w:t> </w:t>
              </w:r>
              <w:r>
                <w:rPr>
                  <w:sz w:val="17"/>
                </w:rPr>
                <w:t>sin</w:t>
              </w:r>
              <w:r>
                <w:rPr>
                  <w:spacing w:val="4"/>
                  <w:sz w:val="17"/>
                </w:rPr>
                <w:t> </w:t>
              </w:r>
              <w:r>
                <w:rPr>
                  <w:sz w:val="17"/>
                </w:rPr>
                <w:t>fines</w:t>
              </w:r>
              <w:r>
                <w:rPr>
                  <w:spacing w:val="3"/>
                  <w:sz w:val="17"/>
                </w:rPr>
                <w:t> </w:t>
              </w:r>
              <w:r>
                <w:rPr>
                  <w:sz w:val="17"/>
                </w:rPr>
                <w:t>lucrativos.</w:t>
              </w:r>
              <w:r>
                <w:rPr>
                  <w:spacing w:val="39"/>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68"/>
              <w:jc w:val="left"/>
              <w:rPr>
                <w:sz w:val="17"/>
              </w:rPr>
            </w:pPr>
          </w:p>
          <w:p>
            <w:pPr>
              <w:pStyle w:val="TableParagraph"/>
              <w:spacing w:before="0"/>
              <w:ind w:left="99"/>
              <w:jc w:val="center"/>
              <w:rPr>
                <w:sz w:val="17"/>
              </w:rPr>
            </w:pPr>
            <w:hyperlink w:history="true" w:anchor="_bookmark57">
              <w:r>
                <w:rPr>
                  <w:spacing w:val="-5"/>
                  <w:sz w:val="17"/>
                </w:rPr>
                <w:t>28</w:t>
              </w:r>
            </w:hyperlink>
          </w:p>
        </w:tc>
      </w:tr>
      <w:tr>
        <w:trPr>
          <w:trHeight w:val="440" w:hRule="atLeast"/>
        </w:trPr>
        <w:tc>
          <w:tcPr>
            <w:tcW w:w="9117" w:type="dxa"/>
          </w:tcPr>
          <w:p>
            <w:pPr>
              <w:pStyle w:val="TableParagraph"/>
              <w:ind w:right="148"/>
              <w:rPr>
                <w:sz w:val="17"/>
              </w:rPr>
            </w:pPr>
            <w:hyperlink w:history="true" w:anchor="_bookmark58">
              <w:r>
                <w:rPr>
                  <w:sz w:val="17"/>
                </w:rPr>
                <w:t>Disposición</w:t>
              </w:r>
              <w:r>
                <w:rPr>
                  <w:spacing w:val="3"/>
                  <w:sz w:val="17"/>
                </w:rPr>
                <w:t> </w:t>
              </w:r>
              <w:r>
                <w:rPr>
                  <w:sz w:val="17"/>
                </w:rPr>
                <w:t>transitoria</w:t>
              </w:r>
              <w:r>
                <w:rPr>
                  <w:spacing w:val="3"/>
                  <w:sz w:val="17"/>
                </w:rPr>
                <w:t> </w:t>
              </w:r>
              <w:r>
                <w:rPr>
                  <w:sz w:val="17"/>
                </w:rPr>
                <w:t>tercera.</w:t>
              </w:r>
              <w:r>
                <w:rPr>
                  <w:spacing w:val="4"/>
                  <w:sz w:val="17"/>
                </w:rPr>
                <w:t> </w:t>
              </w:r>
              <w:r>
                <w:rPr>
                  <w:sz w:val="17"/>
                </w:rPr>
                <w:t>Adaptación</w:t>
              </w:r>
              <w:r>
                <w:rPr>
                  <w:spacing w:val="3"/>
                  <w:sz w:val="17"/>
                </w:rPr>
                <w:t> </w:t>
              </w:r>
              <w:r>
                <w:rPr>
                  <w:sz w:val="17"/>
                </w:rPr>
                <w:t>de</w:t>
              </w:r>
              <w:r>
                <w:rPr>
                  <w:spacing w:val="3"/>
                  <w:sz w:val="17"/>
                </w:rPr>
                <w:t> </w:t>
              </w:r>
              <w:r>
                <w:rPr>
                  <w:sz w:val="17"/>
                </w:rPr>
                <w:t>los</w:t>
              </w:r>
              <w:r>
                <w:rPr>
                  <w:spacing w:val="4"/>
                  <w:sz w:val="17"/>
                </w:rPr>
                <w:t> </w:t>
              </w:r>
              <w:r>
                <w:rPr>
                  <w:sz w:val="17"/>
                </w:rPr>
                <w:t>estatutos.</w:t>
              </w:r>
              <w:r>
                <w:rPr>
                  <w:spacing w:val="-1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58">
              <w:r>
                <w:rPr>
                  <w:spacing w:val="-5"/>
                  <w:sz w:val="17"/>
                </w:rPr>
                <w:t>28</w:t>
              </w:r>
            </w:hyperlink>
          </w:p>
        </w:tc>
      </w:tr>
      <w:tr>
        <w:trPr>
          <w:trHeight w:val="680" w:hRule="atLeast"/>
        </w:trPr>
        <w:tc>
          <w:tcPr>
            <w:tcW w:w="9117" w:type="dxa"/>
          </w:tcPr>
          <w:p>
            <w:pPr>
              <w:pStyle w:val="TableParagraph"/>
              <w:spacing w:line="295" w:lineRule="auto"/>
              <w:ind w:left="1049" w:right="124" w:hanging="200"/>
              <w:jc w:val="left"/>
              <w:rPr>
                <w:sz w:val="17"/>
              </w:rPr>
            </w:pPr>
            <w:hyperlink w:history="true" w:anchor="_bookmark59">
              <w:r>
                <w:rPr>
                  <w:sz w:val="17"/>
                </w:rPr>
                <w:t>Disposición transitoria cuarta. Porcentajes de deducción en la cuota del Impuesto sobre la Renta de las</w:t>
              </w:r>
            </w:hyperlink>
            <w:r>
              <w:rPr>
                <w:sz w:val="17"/>
              </w:rPr>
              <w:t> </w:t>
            </w:r>
            <w:hyperlink w:history="true" w:anchor="_bookmark59">
              <w:r>
                <w:rPr>
                  <w:sz w:val="17"/>
                </w:rPr>
                <w:t>Personas</w:t>
              </w:r>
              <w:r>
                <w:rPr>
                  <w:spacing w:val="3"/>
                  <w:sz w:val="17"/>
                </w:rPr>
                <w:t> </w:t>
              </w:r>
              <w:r>
                <w:rPr>
                  <w:sz w:val="17"/>
                </w:rPr>
                <w:t>Físicas</w:t>
              </w:r>
              <w:r>
                <w:rPr>
                  <w:spacing w:val="3"/>
                  <w:sz w:val="17"/>
                </w:rPr>
                <w:t> </w:t>
              </w:r>
              <w:r>
                <w:rPr>
                  <w:sz w:val="17"/>
                </w:rPr>
                <w:t>y</w:t>
              </w:r>
              <w:r>
                <w:rPr>
                  <w:spacing w:val="4"/>
                  <w:sz w:val="17"/>
                </w:rPr>
                <w:t> </w:t>
              </w:r>
              <w:r>
                <w:rPr>
                  <w:sz w:val="17"/>
                </w:rPr>
                <w:t>del</w:t>
              </w:r>
              <w:r>
                <w:rPr>
                  <w:spacing w:val="3"/>
                  <w:sz w:val="17"/>
                </w:rPr>
                <w:t> </w:t>
              </w:r>
              <w:r>
                <w:rPr>
                  <w:sz w:val="17"/>
                </w:rPr>
                <w:t>Impuesto</w:t>
              </w:r>
              <w:r>
                <w:rPr>
                  <w:spacing w:val="3"/>
                  <w:sz w:val="17"/>
                </w:rPr>
                <w:t> </w:t>
              </w:r>
              <w:r>
                <w:rPr>
                  <w:sz w:val="17"/>
                </w:rPr>
                <w:t>sobre</w:t>
              </w:r>
              <w:r>
                <w:rPr>
                  <w:spacing w:val="4"/>
                  <w:sz w:val="17"/>
                </w:rPr>
                <w:t> </w:t>
              </w:r>
              <w:r>
                <w:rPr>
                  <w:sz w:val="17"/>
                </w:rPr>
                <w:t>Sociedades.</w:t>
              </w:r>
              <w:r>
                <w:rPr>
                  <w:spacing w:val="3"/>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68"/>
              <w:jc w:val="left"/>
              <w:rPr>
                <w:sz w:val="17"/>
              </w:rPr>
            </w:pPr>
          </w:p>
          <w:p>
            <w:pPr>
              <w:pStyle w:val="TableParagraph"/>
              <w:spacing w:before="0"/>
              <w:ind w:left="99"/>
              <w:jc w:val="center"/>
              <w:rPr>
                <w:sz w:val="17"/>
              </w:rPr>
            </w:pPr>
            <w:hyperlink w:history="true" w:anchor="_bookmark59">
              <w:r>
                <w:rPr>
                  <w:spacing w:val="-5"/>
                  <w:sz w:val="17"/>
                </w:rPr>
                <w:t>28</w:t>
              </w:r>
            </w:hyperlink>
          </w:p>
        </w:tc>
      </w:tr>
      <w:tr>
        <w:trPr>
          <w:trHeight w:val="457" w:hRule="atLeast"/>
        </w:trPr>
        <w:tc>
          <w:tcPr>
            <w:tcW w:w="9117" w:type="dxa"/>
          </w:tcPr>
          <w:p>
            <w:pPr>
              <w:pStyle w:val="TableParagraph"/>
              <w:ind w:right="147"/>
              <w:rPr>
                <w:i/>
                <w:sz w:val="17"/>
              </w:rPr>
            </w:pPr>
            <w:hyperlink w:history="true" w:anchor="_bookmark60">
              <w:r>
                <w:rPr>
                  <w:i/>
                  <w:sz w:val="17"/>
                </w:rPr>
                <w:t>Disposiciones derogatorias</w:t>
              </w:r>
              <w:r>
                <w:rPr>
                  <w:i/>
                  <w:spacing w:val="70"/>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2"/>
                  <w:sz w:val="17"/>
                </w:rPr>
                <w:t> </w:t>
              </w:r>
              <w:r>
                <w:rPr>
                  <w:i/>
                  <w:spacing w:val="-10"/>
                  <w:sz w:val="17"/>
                </w:rPr>
                <w:t>.</w:t>
              </w:r>
              <w:r>
                <w:rPr>
                  <w:i/>
                  <w:sz w:val="17"/>
                </w:rPr>
                <w:t> </w:t>
              </w:r>
            </w:hyperlink>
          </w:p>
        </w:tc>
        <w:tc>
          <w:tcPr>
            <w:tcW w:w="394" w:type="dxa"/>
          </w:tcPr>
          <w:p>
            <w:pPr>
              <w:pStyle w:val="TableParagraph"/>
              <w:ind w:left="99"/>
              <w:jc w:val="center"/>
              <w:rPr>
                <w:sz w:val="17"/>
              </w:rPr>
            </w:pPr>
            <w:hyperlink w:history="true" w:anchor="_bookmark60">
              <w:r>
                <w:rPr>
                  <w:spacing w:val="-5"/>
                  <w:sz w:val="17"/>
                </w:rPr>
                <w:t>28</w:t>
              </w:r>
            </w:hyperlink>
          </w:p>
        </w:tc>
      </w:tr>
      <w:tr>
        <w:trPr>
          <w:trHeight w:val="462" w:hRule="atLeast"/>
        </w:trPr>
        <w:tc>
          <w:tcPr>
            <w:tcW w:w="9117" w:type="dxa"/>
          </w:tcPr>
          <w:p>
            <w:pPr>
              <w:pStyle w:val="TableParagraph"/>
              <w:spacing w:before="141"/>
              <w:ind w:right="148"/>
              <w:rPr>
                <w:sz w:val="17"/>
              </w:rPr>
            </w:pPr>
            <w:hyperlink w:history="true" w:anchor="_bookmark60">
              <w:r>
                <w:rPr>
                  <w:sz w:val="17"/>
                </w:rPr>
                <w:t>Disposición</w:t>
              </w:r>
              <w:r>
                <w:rPr>
                  <w:spacing w:val="3"/>
                  <w:sz w:val="17"/>
                </w:rPr>
                <w:t> </w:t>
              </w:r>
              <w:r>
                <w:rPr>
                  <w:sz w:val="17"/>
                </w:rPr>
                <w:t>derogatoria</w:t>
              </w:r>
              <w:r>
                <w:rPr>
                  <w:spacing w:val="3"/>
                  <w:sz w:val="17"/>
                </w:rPr>
                <w:t> </w:t>
              </w:r>
              <w:r>
                <w:rPr>
                  <w:sz w:val="17"/>
                </w:rPr>
                <w:t>única..</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3"/>
                  <w:sz w:val="17"/>
                </w:rPr>
                <w:t> </w:t>
              </w:r>
              <w:r>
                <w:rPr>
                  <w:spacing w:val="-10"/>
                  <w:sz w:val="17"/>
                </w:rPr>
                <w:t>.</w:t>
              </w:r>
              <w:r>
                <w:rPr>
                  <w:sz w:val="17"/>
                </w:rPr>
                <w:t> </w:t>
              </w:r>
            </w:hyperlink>
          </w:p>
        </w:tc>
        <w:tc>
          <w:tcPr>
            <w:tcW w:w="394" w:type="dxa"/>
          </w:tcPr>
          <w:p>
            <w:pPr>
              <w:pStyle w:val="TableParagraph"/>
              <w:spacing w:before="146"/>
              <w:ind w:left="99"/>
              <w:jc w:val="center"/>
              <w:rPr>
                <w:sz w:val="17"/>
              </w:rPr>
            </w:pPr>
            <w:hyperlink w:history="true" w:anchor="_bookmark60">
              <w:r>
                <w:rPr>
                  <w:spacing w:val="-5"/>
                  <w:sz w:val="17"/>
                </w:rPr>
                <w:t>28</w:t>
              </w:r>
            </w:hyperlink>
          </w:p>
        </w:tc>
      </w:tr>
      <w:tr>
        <w:trPr>
          <w:trHeight w:val="457" w:hRule="atLeast"/>
        </w:trPr>
        <w:tc>
          <w:tcPr>
            <w:tcW w:w="9117" w:type="dxa"/>
          </w:tcPr>
          <w:p>
            <w:pPr>
              <w:pStyle w:val="TableParagraph"/>
              <w:ind w:right="147"/>
              <w:rPr>
                <w:i/>
                <w:sz w:val="17"/>
              </w:rPr>
            </w:pPr>
            <w:hyperlink w:history="true" w:anchor="_bookmark61">
              <w:r>
                <w:rPr>
                  <w:i/>
                  <w:sz w:val="17"/>
                </w:rPr>
                <w:t>Disposiciones</w:t>
              </w:r>
              <w:r>
                <w:rPr>
                  <w:i/>
                  <w:spacing w:val="2"/>
                  <w:sz w:val="17"/>
                </w:rPr>
                <w:t> </w:t>
              </w:r>
              <w:r>
                <w:rPr>
                  <w:i/>
                  <w:sz w:val="17"/>
                </w:rPr>
                <w:t>finales</w:t>
              </w:r>
              <w:r>
                <w:rPr>
                  <w:i/>
                  <w:spacing w:val="56"/>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24"/>
                  <w:sz w:val="17"/>
                </w:rPr>
                <w:t>.</w:t>
              </w:r>
              <w:r>
                <w:rPr>
                  <w:i/>
                  <w:spacing w:val="1"/>
                  <w:sz w:val="17"/>
                </w:rPr>
                <w:t> </w:t>
              </w:r>
              <w:r>
                <w:rPr>
                  <w:i/>
                  <w:spacing w:val="24"/>
                  <w:sz w:val="17"/>
                </w:rPr>
                <w:t>.</w:t>
              </w:r>
              <w:r>
                <w:rPr>
                  <w:i/>
                  <w:spacing w:val="2"/>
                  <w:sz w:val="17"/>
                </w:rPr>
                <w:t> </w:t>
              </w:r>
              <w:r>
                <w:rPr>
                  <w:i/>
                  <w:spacing w:val="24"/>
                  <w:sz w:val="17"/>
                </w:rPr>
                <w:t>.</w:t>
              </w:r>
              <w:r>
                <w:rPr>
                  <w:i/>
                  <w:spacing w:val="1"/>
                  <w:sz w:val="17"/>
                </w:rPr>
                <w:t> </w:t>
              </w:r>
              <w:r>
                <w:rPr>
                  <w:i/>
                  <w:spacing w:val="-10"/>
                  <w:sz w:val="17"/>
                </w:rPr>
                <w:t>.</w:t>
              </w:r>
              <w:r>
                <w:rPr>
                  <w:i/>
                  <w:sz w:val="17"/>
                </w:rPr>
                <w:t> </w:t>
              </w:r>
            </w:hyperlink>
          </w:p>
        </w:tc>
        <w:tc>
          <w:tcPr>
            <w:tcW w:w="394" w:type="dxa"/>
          </w:tcPr>
          <w:p>
            <w:pPr>
              <w:pStyle w:val="TableParagraph"/>
              <w:ind w:left="99"/>
              <w:jc w:val="center"/>
              <w:rPr>
                <w:sz w:val="17"/>
              </w:rPr>
            </w:pPr>
            <w:hyperlink w:history="true" w:anchor="_bookmark61">
              <w:r>
                <w:rPr>
                  <w:spacing w:val="-5"/>
                  <w:sz w:val="17"/>
                </w:rPr>
                <w:t>28</w:t>
              </w:r>
            </w:hyperlink>
          </w:p>
        </w:tc>
      </w:tr>
      <w:tr>
        <w:trPr>
          <w:trHeight w:val="462" w:hRule="atLeast"/>
        </w:trPr>
        <w:tc>
          <w:tcPr>
            <w:tcW w:w="9117" w:type="dxa"/>
          </w:tcPr>
          <w:p>
            <w:pPr>
              <w:pStyle w:val="TableParagraph"/>
              <w:spacing w:before="141"/>
              <w:ind w:right="149"/>
              <w:rPr>
                <w:sz w:val="17"/>
              </w:rPr>
            </w:pPr>
            <w:hyperlink w:history="true" w:anchor="_bookmark61">
              <w:r>
                <w:rPr>
                  <w:sz w:val="17"/>
                </w:rPr>
                <w:t>Disposición</w:t>
              </w:r>
              <w:r>
                <w:rPr>
                  <w:spacing w:val="5"/>
                  <w:sz w:val="17"/>
                </w:rPr>
                <w:t> </w:t>
              </w:r>
              <w:r>
                <w:rPr>
                  <w:sz w:val="17"/>
                </w:rPr>
                <w:t>final</w:t>
              </w:r>
              <w:r>
                <w:rPr>
                  <w:spacing w:val="5"/>
                  <w:sz w:val="17"/>
                </w:rPr>
                <w:t> </w:t>
              </w:r>
              <w:r>
                <w:rPr>
                  <w:sz w:val="17"/>
                </w:rPr>
                <w:t>primera.</w:t>
              </w:r>
              <w:r>
                <w:rPr>
                  <w:spacing w:val="6"/>
                  <w:sz w:val="17"/>
                </w:rPr>
                <w:t> </w:t>
              </w:r>
              <w:r>
                <w:rPr>
                  <w:sz w:val="17"/>
                </w:rPr>
                <w:t>Habilitación</w:t>
              </w:r>
              <w:r>
                <w:rPr>
                  <w:spacing w:val="5"/>
                  <w:sz w:val="17"/>
                </w:rPr>
                <w:t> </w:t>
              </w:r>
              <w:r>
                <w:rPr>
                  <w:sz w:val="17"/>
                </w:rPr>
                <w:t>a</w:t>
              </w:r>
              <w:r>
                <w:rPr>
                  <w:spacing w:val="6"/>
                  <w:sz w:val="17"/>
                </w:rPr>
                <w:t> </w:t>
              </w:r>
              <w:r>
                <w:rPr>
                  <w:sz w:val="17"/>
                </w:rPr>
                <w:t>la</w:t>
              </w:r>
              <w:r>
                <w:rPr>
                  <w:spacing w:val="5"/>
                  <w:sz w:val="17"/>
                </w:rPr>
                <w:t> </w:t>
              </w:r>
              <w:r>
                <w:rPr>
                  <w:sz w:val="17"/>
                </w:rPr>
                <w:t>Ley</w:t>
              </w:r>
              <w:r>
                <w:rPr>
                  <w:spacing w:val="6"/>
                  <w:sz w:val="17"/>
                </w:rPr>
                <w:t> </w:t>
              </w:r>
              <w:r>
                <w:rPr>
                  <w:sz w:val="17"/>
                </w:rPr>
                <w:t>de</w:t>
              </w:r>
              <w:r>
                <w:rPr>
                  <w:spacing w:val="5"/>
                  <w:sz w:val="17"/>
                </w:rPr>
                <w:t> </w:t>
              </w:r>
              <w:r>
                <w:rPr>
                  <w:sz w:val="17"/>
                </w:rPr>
                <w:t>Presupuestos</w:t>
              </w:r>
              <w:r>
                <w:rPr>
                  <w:spacing w:val="6"/>
                  <w:sz w:val="17"/>
                </w:rPr>
                <w:t> </w:t>
              </w:r>
              <w:r>
                <w:rPr>
                  <w:sz w:val="17"/>
                </w:rPr>
                <w:t>Generales</w:t>
              </w:r>
              <w:r>
                <w:rPr>
                  <w:spacing w:val="5"/>
                  <w:sz w:val="17"/>
                </w:rPr>
                <w:t> </w:t>
              </w:r>
              <w:r>
                <w:rPr>
                  <w:sz w:val="17"/>
                </w:rPr>
                <w:t>del</w:t>
              </w:r>
              <w:r>
                <w:rPr>
                  <w:spacing w:val="6"/>
                  <w:sz w:val="17"/>
                </w:rPr>
                <w:t> </w:t>
              </w:r>
              <w:r>
                <w:rPr>
                  <w:sz w:val="17"/>
                </w:rPr>
                <w:t>Estado.</w:t>
              </w:r>
              <w:r>
                <w:rPr>
                  <w:spacing w:val="43"/>
                  <w:sz w:val="17"/>
                </w:rPr>
                <w:t> </w:t>
              </w:r>
              <w:r>
                <w:rPr>
                  <w:spacing w:val="24"/>
                  <w:sz w:val="17"/>
                </w:rPr>
                <w:t>.</w:t>
              </w:r>
              <w:r>
                <w:rPr>
                  <w:spacing w:val="5"/>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24"/>
                  <w:sz w:val="17"/>
                </w:rPr>
                <w:t>.</w:t>
              </w:r>
              <w:r>
                <w:rPr>
                  <w:spacing w:val="5"/>
                  <w:sz w:val="17"/>
                </w:rPr>
                <w:t> </w:t>
              </w:r>
              <w:r>
                <w:rPr>
                  <w:spacing w:val="24"/>
                  <w:sz w:val="17"/>
                </w:rPr>
                <w:t>.</w:t>
              </w:r>
              <w:r>
                <w:rPr>
                  <w:spacing w:val="4"/>
                  <w:sz w:val="17"/>
                </w:rPr>
                <w:t> </w:t>
              </w:r>
              <w:r>
                <w:rPr>
                  <w:spacing w:val="-10"/>
                  <w:sz w:val="17"/>
                </w:rPr>
                <w:t>.</w:t>
              </w:r>
              <w:r>
                <w:rPr>
                  <w:sz w:val="17"/>
                </w:rPr>
                <w:t> </w:t>
              </w:r>
            </w:hyperlink>
          </w:p>
        </w:tc>
        <w:tc>
          <w:tcPr>
            <w:tcW w:w="394" w:type="dxa"/>
          </w:tcPr>
          <w:p>
            <w:pPr>
              <w:pStyle w:val="TableParagraph"/>
              <w:spacing w:before="146"/>
              <w:ind w:left="99"/>
              <w:jc w:val="center"/>
              <w:rPr>
                <w:sz w:val="17"/>
              </w:rPr>
            </w:pPr>
            <w:hyperlink w:history="true" w:anchor="_bookmark61">
              <w:r>
                <w:rPr>
                  <w:spacing w:val="-5"/>
                  <w:sz w:val="17"/>
                </w:rPr>
                <w:t>28</w:t>
              </w:r>
            </w:hyperlink>
          </w:p>
        </w:tc>
      </w:tr>
      <w:tr>
        <w:trPr>
          <w:trHeight w:val="440" w:hRule="atLeast"/>
        </w:trPr>
        <w:tc>
          <w:tcPr>
            <w:tcW w:w="9117" w:type="dxa"/>
          </w:tcPr>
          <w:p>
            <w:pPr>
              <w:pStyle w:val="TableParagraph"/>
              <w:ind w:right="148"/>
              <w:rPr>
                <w:sz w:val="17"/>
              </w:rPr>
            </w:pPr>
            <w:hyperlink w:history="true" w:anchor="_bookmark62">
              <w:r>
                <w:rPr>
                  <w:sz w:val="17"/>
                </w:rPr>
                <w:t>Disposición</w:t>
              </w:r>
              <w:r>
                <w:rPr>
                  <w:spacing w:val="3"/>
                  <w:sz w:val="17"/>
                </w:rPr>
                <w:t> </w:t>
              </w:r>
              <w:r>
                <w:rPr>
                  <w:sz w:val="17"/>
                </w:rPr>
                <w:t>final</w:t>
              </w:r>
              <w:r>
                <w:rPr>
                  <w:spacing w:val="3"/>
                  <w:sz w:val="17"/>
                </w:rPr>
                <w:t> </w:t>
              </w:r>
              <w:r>
                <w:rPr>
                  <w:sz w:val="17"/>
                </w:rPr>
                <w:t>segunda.</w:t>
              </w:r>
              <w:r>
                <w:rPr>
                  <w:spacing w:val="3"/>
                  <w:sz w:val="17"/>
                </w:rPr>
                <w:t> </w:t>
              </w:r>
              <w:r>
                <w:rPr>
                  <w:sz w:val="17"/>
                </w:rPr>
                <w:t>Habilitación</w:t>
              </w:r>
              <w:r>
                <w:rPr>
                  <w:spacing w:val="3"/>
                  <w:sz w:val="17"/>
                </w:rPr>
                <w:t> </w:t>
              </w:r>
              <w:r>
                <w:rPr>
                  <w:sz w:val="17"/>
                </w:rPr>
                <w:t>normativa.</w:t>
              </w:r>
              <w:r>
                <w:rPr>
                  <w:spacing w:val="18"/>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62">
              <w:r>
                <w:rPr>
                  <w:spacing w:val="-5"/>
                  <w:sz w:val="17"/>
                </w:rPr>
                <w:t>29</w:t>
              </w:r>
            </w:hyperlink>
          </w:p>
        </w:tc>
      </w:tr>
      <w:tr>
        <w:trPr>
          <w:trHeight w:val="440" w:hRule="atLeast"/>
        </w:trPr>
        <w:tc>
          <w:tcPr>
            <w:tcW w:w="9117" w:type="dxa"/>
          </w:tcPr>
          <w:p>
            <w:pPr>
              <w:pStyle w:val="TableParagraph"/>
              <w:ind w:right="148"/>
              <w:rPr>
                <w:sz w:val="17"/>
              </w:rPr>
            </w:pPr>
            <w:hyperlink w:history="true" w:anchor="_bookmark63">
              <w:r>
                <w:rPr>
                  <w:sz w:val="17"/>
                </w:rPr>
                <w:t>Disposición final</w:t>
              </w:r>
              <w:r>
                <w:rPr>
                  <w:spacing w:val="2"/>
                  <w:sz w:val="17"/>
                </w:rPr>
                <w:t> </w:t>
              </w:r>
              <w:r>
                <w:rPr>
                  <w:sz w:val="17"/>
                </w:rPr>
                <w:t>tercera.</w:t>
              </w:r>
              <w:r>
                <w:rPr>
                  <w:spacing w:val="3"/>
                  <w:sz w:val="17"/>
                </w:rPr>
                <w:t> </w:t>
              </w:r>
              <w:r>
                <w:rPr>
                  <w:sz w:val="17"/>
                </w:rPr>
                <w:t>Entrada</w:t>
              </w:r>
              <w:r>
                <w:rPr>
                  <w:spacing w:val="2"/>
                  <w:sz w:val="17"/>
                </w:rPr>
                <w:t> </w:t>
              </w:r>
              <w:r>
                <w:rPr>
                  <w:sz w:val="17"/>
                </w:rPr>
                <w:t>en</w:t>
              </w:r>
              <w:r>
                <w:rPr>
                  <w:spacing w:val="3"/>
                  <w:sz w:val="17"/>
                </w:rPr>
                <w:t> </w:t>
              </w:r>
              <w:r>
                <w:rPr>
                  <w:sz w:val="17"/>
                </w:rPr>
                <w:t>vigor.</w:t>
              </w:r>
              <w:r>
                <w:rPr>
                  <w:spacing w:val="-9"/>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2"/>
                  <w:sz w:val="17"/>
                </w:rPr>
                <w:t> </w:t>
              </w:r>
              <w:r>
                <w:rPr>
                  <w:spacing w:val="-10"/>
                  <w:sz w:val="17"/>
                </w:rPr>
                <w:t>.</w:t>
              </w:r>
              <w:r>
                <w:rPr>
                  <w:sz w:val="17"/>
                </w:rPr>
                <w:t> </w:t>
              </w:r>
            </w:hyperlink>
          </w:p>
        </w:tc>
        <w:tc>
          <w:tcPr>
            <w:tcW w:w="394" w:type="dxa"/>
          </w:tcPr>
          <w:p>
            <w:pPr>
              <w:pStyle w:val="TableParagraph"/>
              <w:spacing w:before="123"/>
              <w:ind w:left="99"/>
              <w:jc w:val="center"/>
              <w:rPr>
                <w:sz w:val="17"/>
              </w:rPr>
            </w:pPr>
            <w:hyperlink w:history="true" w:anchor="_bookmark63">
              <w:r>
                <w:rPr>
                  <w:spacing w:val="-5"/>
                  <w:sz w:val="17"/>
                </w:rPr>
                <w:t>29</w:t>
              </w:r>
            </w:hyperlink>
          </w:p>
        </w:tc>
      </w:tr>
      <w:tr>
        <w:trPr>
          <w:trHeight w:val="320" w:hRule="atLeast"/>
        </w:trPr>
        <w:tc>
          <w:tcPr>
            <w:tcW w:w="9117" w:type="dxa"/>
          </w:tcPr>
          <w:p>
            <w:pPr>
              <w:pStyle w:val="TableParagraph"/>
              <w:spacing w:line="182" w:lineRule="exact"/>
              <w:ind w:right="147"/>
              <w:rPr>
                <w:sz w:val="17"/>
              </w:rPr>
            </w:pPr>
            <w:hyperlink w:history="true" w:anchor="_bookmark64">
              <w:r>
                <w:rPr>
                  <w:sz w:val="17"/>
                </w:rPr>
                <w:t>ANEXO</w:t>
              </w:r>
              <w:r>
                <w:rPr>
                  <w:spacing w:val="-25"/>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1"/>
                  <w:sz w:val="17"/>
                </w:rPr>
                <w:t> </w:t>
              </w:r>
              <w:r>
                <w:rPr>
                  <w:spacing w:val="24"/>
                  <w:sz w:val="17"/>
                </w:rPr>
                <w:t>.</w:t>
              </w:r>
              <w:r>
                <w:rPr>
                  <w:spacing w:val="2"/>
                  <w:sz w:val="17"/>
                </w:rPr>
                <w:t> </w:t>
              </w:r>
              <w:r>
                <w:rPr>
                  <w:spacing w:val="24"/>
                  <w:sz w:val="17"/>
                </w:rPr>
                <w:t>.</w:t>
              </w:r>
              <w:r>
                <w:rPr>
                  <w:spacing w:val="1"/>
                  <w:sz w:val="17"/>
                </w:rPr>
                <w:t> </w:t>
              </w:r>
              <w:r>
                <w:rPr>
                  <w:spacing w:val="-10"/>
                  <w:sz w:val="17"/>
                </w:rPr>
                <w:t>.</w:t>
              </w:r>
              <w:r>
                <w:rPr>
                  <w:sz w:val="17"/>
                </w:rPr>
                <w:t> </w:t>
              </w:r>
            </w:hyperlink>
          </w:p>
        </w:tc>
        <w:tc>
          <w:tcPr>
            <w:tcW w:w="394" w:type="dxa"/>
          </w:tcPr>
          <w:p>
            <w:pPr>
              <w:pStyle w:val="TableParagraph"/>
              <w:spacing w:line="177" w:lineRule="exact" w:before="123"/>
              <w:ind w:left="99"/>
              <w:jc w:val="center"/>
              <w:rPr>
                <w:sz w:val="17"/>
              </w:rPr>
            </w:pPr>
            <w:hyperlink w:history="true" w:anchor="_bookmark64">
              <w:r>
                <w:rPr>
                  <w:spacing w:val="-5"/>
                  <w:sz w:val="17"/>
                </w:rPr>
                <w:t>29</w:t>
              </w:r>
            </w:hyperlink>
          </w:p>
        </w:tc>
      </w:tr>
    </w:tbl>
    <w:p>
      <w:pPr>
        <w:pStyle w:val="TableParagraph"/>
        <w:spacing w:after="0" w:line="177" w:lineRule="exact"/>
        <w:jc w:val="center"/>
        <w:rPr>
          <w:sz w:val="17"/>
        </w:rPr>
        <w:sectPr>
          <w:pgSz w:w="11910" w:h="16840"/>
          <w:pgMar w:header="349" w:footer="530" w:top="1200" w:bottom="760" w:left="1559" w:right="708"/>
        </w:sectPr>
      </w:pPr>
    </w:p>
    <w:p>
      <w:pPr>
        <w:pStyle w:val="BodyText"/>
        <w:spacing w:before="177"/>
        <w:ind w:left="0" w:firstLine="0"/>
        <w:jc w:val="left"/>
        <w:rPr>
          <w:sz w:val="28"/>
        </w:rPr>
      </w:pPr>
    </w:p>
    <w:p>
      <w:pPr>
        <w:pStyle w:val="Heading1"/>
        <w:ind w:left="1864" w:right="2712"/>
      </w:pPr>
      <w:r>
        <w:rPr>
          <w:color w:val="004479"/>
        </w:rPr>
        <w:t>TEXTO</w:t>
      </w:r>
      <w:r>
        <w:rPr>
          <w:color w:val="004479"/>
          <w:spacing w:val="-5"/>
        </w:rPr>
        <w:t> </w:t>
      </w:r>
      <w:r>
        <w:rPr>
          <w:color w:val="004479"/>
          <w:spacing w:val="-2"/>
        </w:rPr>
        <w:t>CONSOLIDADO</w:t>
      </w:r>
    </w:p>
    <w:p>
      <w:pPr>
        <w:spacing w:before="38"/>
        <w:ind w:left="1" w:right="849" w:firstLine="0"/>
        <w:jc w:val="center"/>
        <w:rPr>
          <w:sz w:val="28"/>
        </w:rPr>
      </w:pPr>
      <w:r>
        <w:rPr>
          <w:color w:val="004479"/>
          <w:sz w:val="28"/>
        </w:rPr>
        <w:t>Última</w:t>
      </w:r>
      <w:r>
        <w:rPr>
          <w:color w:val="004479"/>
          <w:spacing w:val="-3"/>
          <w:sz w:val="28"/>
        </w:rPr>
        <w:t> </w:t>
      </w:r>
      <w:r>
        <w:rPr>
          <w:color w:val="004479"/>
          <w:sz w:val="28"/>
        </w:rPr>
        <w:t>modificación:</w:t>
      </w:r>
      <w:r>
        <w:rPr>
          <w:color w:val="004479"/>
          <w:spacing w:val="-3"/>
          <w:sz w:val="28"/>
        </w:rPr>
        <w:t> </w:t>
      </w:r>
      <w:r>
        <w:rPr>
          <w:color w:val="004479"/>
          <w:sz w:val="28"/>
        </w:rPr>
        <w:t>20</w:t>
      </w:r>
      <w:r>
        <w:rPr>
          <w:color w:val="004479"/>
          <w:spacing w:val="-2"/>
          <w:sz w:val="28"/>
        </w:rPr>
        <w:t> </w:t>
      </w:r>
      <w:r>
        <w:rPr>
          <w:color w:val="004479"/>
          <w:sz w:val="28"/>
        </w:rPr>
        <w:t>de</w:t>
      </w:r>
      <w:r>
        <w:rPr>
          <w:color w:val="004479"/>
          <w:spacing w:val="-3"/>
          <w:sz w:val="28"/>
        </w:rPr>
        <w:t> </w:t>
      </w:r>
      <w:r>
        <w:rPr>
          <w:color w:val="004479"/>
          <w:sz w:val="28"/>
        </w:rPr>
        <w:t>diciembre</w:t>
      </w:r>
      <w:r>
        <w:rPr>
          <w:color w:val="004479"/>
          <w:spacing w:val="-3"/>
          <w:sz w:val="28"/>
        </w:rPr>
        <w:t> </w:t>
      </w:r>
      <w:r>
        <w:rPr>
          <w:color w:val="004479"/>
          <w:sz w:val="28"/>
        </w:rPr>
        <w:t>de</w:t>
      </w:r>
      <w:r>
        <w:rPr>
          <w:color w:val="004479"/>
          <w:spacing w:val="-2"/>
          <w:sz w:val="28"/>
        </w:rPr>
        <w:t> </w:t>
      </w:r>
      <w:r>
        <w:rPr>
          <w:color w:val="004479"/>
          <w:spacing w:val="-4"/>
          <w:sz w:val="28"/>
        </w:rPr>
        <w:t>2023</w:t>
      </w:r>
    </w:p>
    <w:p>
      <w:pPr>
        <w:pStyle w:val="BodyText"/>
        <w:spacing w:before="264"/>
        <w:ind w:left="0" w:firstLine="0"/>
        <w:jc w:val="left"/>
        <w:rPr>
          <w:sz w:val="28"/>
        </w:rPr>
      </w:pPr>
    </w:p>
    <w:p>
      <w:pPr>
        <w:pStyle w:val="BodyText"/>
        <w:spacing w:before="0"/>
        <w:ind w:left="1863" w:right="2712" w:firstLine="0"/>
        <w:jc w:val="center"/>
      </w:pPr>
      <w:bookmarkStart w:name="[Preámbulo]" w:id="2"/>
      <w:bookmarkEnd w:id="2"/>
      <w:r>
        <w:rPr/>
      </w:r>
      <w:bookmarkStart w:name="_bookmark0" w:id="3"/>
      <w:bookmarkEnd w:id="3"/>
      <w:r>
        <w:rPr/>
      </w:r>
      <w:r>
        <w:rPr/>
        <w:t>JUAN</w:t>
      </w:r>
      <w:r>
        <w:rPr>
          <w:spacing w:val="-4"/>
        </w:rPr>
        <w:t> </w:t>
      </w:r>
      <w:r>
        <w:rPr/>
        <w:t>CARLOS</w:t>
      </w:r>
      <w:r>
        <w:rPr>
          <w:spacing w:val="-1"/>
        </w:rPr>
        <w:t> </w:t>
      </w:r>
      <w:r>
        <w:rPr>
          <w:spacing w:val="-10"/>
        </w:rPr>
        <w:t>I</w:t>
      </w:r>
    </w:p>
    <w:p>
      <w:pPr>
        <w:pStyle w:val="BodyText"/>
        <w:spacing w:before="63"/>
        <w:ind w:left="0" w:firstLine="0"/>
        <w:jc w:val="left"/>
      </w:pPr>
    </w:p>
    <w:p>
      <w:pPr>
        <w:pStyle w:val="BodyText"/>
        <w:spacing w:before="0"/>
        <w:ind w:left="1863" w:right="2712" w:firstLine="0"/>
        <w:jc w:val="center"/>
      </w:pPr>
      <w:r>
        <w:rPr/>
        <w:t>REY DE </w:t>
      </w:r>
      <w:r>
        <w:rPr>
          <w:spacing w:val="-2"/>
        </w:rPr>
        <w:t>ESPAÑA</w:t>
      </w:r>
    </w:p>
    <w:p>
      <w:pPr>
        <w:pStyle w:val="BodyText"/>
        <w:spacing w:before="130"/>
        <w:ind w:left="595" w:firstLine="0"/>
        <w:jc w:val="left"/>
      </w:pPr>
      <w:r>
        <w:rPr/>
        <w:t>A</w:t>
      </w:r>
      <w:r>
        <w:rPr>
          <w:spacing w:val="-2"/>
        </w:rPr>
        <w:t> </w:t>
      </w:r>
      <w:r>
        <w:rPr/>
        <w:t>todos</w:t>
      </w:r>
      <w:r>
        <w:rPr>
          <w:spacing w:val="-2"/>
        </w:rPr>
        <w:t> </w:t>
      </w:r>
      <w:r>
        <w:rPr/>
        <w:t>los</w:t>
      </w:r>
      <w:r>
        <w:rPr>
          <w:spacing w:val="-2"/>
        </w:rPr>
        <w:t> </w:t>
      </w:r>
      <w:r>
        <w:rPr/>
        <w:t>que</w:t>
      </w:r>
      <w:r>
        <w:rPr>
          <w:spacing w:val="-2"/>
        </w:rPr>
        <w:t> </w:t>
      </w:r>
      <w:r>
        <w:rPr/>
        <w:t>la</w:t>
      </w:r>
      <w:r>
        <w:rPr>
          <w:spacing w:val="-2"/>
        </w:rPr>
        <w:t> </w:t>
      </w:r>
      <w:r>
        <w:rPr/>
        <w:t>presente</w:t>
      </w:r>
      <w:r>
        <w:rPr>
          <w:spacing w:val="-2"/>
        </w:rPr>
        <w:t> </w:t>
      </w:r>
      <w:r>
        <w:rPr/>
        <w:t>vieren</w:t>
      </w:r>
      <w:r>
        <w:rPr>
          <w:spacing w:val="-2"/>
        </w:rPr>
        <w:t> </w:t>
      </w:r>
      <w:r>
        <w:rPr/>
        <w:t>y</w:t>
      </w:r>
      <w:r>
        <w:rPr>
          <w:spacing w:val="-1"/>
        </w:rPr>
        <w:t> </w:t>
      </w:r>
      <w:r>
        <w:rPr>
          <w:spacing w:val="-2"/>
        </w:rPr>
        <w:t>entendieren.</w:t>
      </w:r>
    </w:p>
    <w:p>
      <w:pPr>
        <w:pStyle w:val="BodyText"/>
        <w:spacing w:line="249" w:lineRule="auto" w:before="10"/>
        <w:ind w:right="1105"/>
      </w:pPr>
      <w:r>
        <w:rPr/>
        <w:t>Sabed: Que las Cortes Generales han aprobado y Yo vengo en sancionar la siguiente </w:t>
      </w:r>
      <w:r>
        <w:rPr>
          <w:spacing w:val="-4"/>
        </w:rPr>
        <w:t>Ley.</w:t>
      </w:r>
    </w:p>
    <w:p>
      <w:pPr>
        <w:pStyle w:val="BodyText"/>
        <w:spacing w:before="55"/>
        <w:ind w:left="0" w:firstLine="0"/>
        <w:jc w:val="left"/>
      </w:pPr>
    </w:p>
    <w:p>
      <w:pPr>
        <w:pStyle w:val="BodyText"/>
        <w:spacing w:before="0"/>
        <w:ind w:left="1863" w:right="2713" w:firstLine="0"/>
        <w:jc w:val="center"/>
      </w:pPr>
      <w:r>
        <w:rPr/>
        <w:t>EXPOSICIÓN</w:t>
      </w:r>
      <w:r>
        <w:rPr>
          <w:spacing w:val="-5"/>
        </w:rPr>
        <w:t> </w:t>
      </w:r>
      <w:r>
        <w:rPr/>
        <w:t>DE</w:t>
      </w:r>
      <w:r>
        <w:rPr>
          <w:spacing w:val="-4"/>
        </w:rPr>
        <w:t> </w:t>
      </w:r>
      <w:r>
        <w:rPr>
          <w:spacing w:val="-2"/>
        </w:rPr>
        <w:t>MOTIVOS</w:t>
      </w:r>
    </w:p>
    <w:p>
      <w:pPr>
        <w:pStyle w:val="BodyText"/>
        <w:spacing w:before="64"/>
        <w:ind w:left="0" w:firstLine="0"/>
        <w:jc w:val="left"/>
      </w:pPr>
    </w:p>
    <w:p>
      <w:pPr>
        <w:pStyle w:val="BodyText"/>
        <w:spacing w:before="0"/>
        <w:ind w:left="1863" w:right="2713" w:firstLine="0"/>
        <w:jc w:val="center"/>
      </w:pPr>
      <w:r>
        <w:rPr>
          <w:spacing w:val="-10"/>
        </w:rPr>
        <w:t>I</w:t>
      </w:r>
    </w:p>
    <w:p>
      <w:pPr>
        <w:pStyle w:val="BodyText"/>
        <w:spacing w:line="249" w:lineRule="auto" w:before="123"/>
        <w:ind w:right="1103"/>
      </w:pPr>
      <w:r>
        <w:rPr/>
        <w:t>La importancia alcanzada en los últimos años por el denominado «tercer sector», así como</w:t>
      </w:r>
      <w:r>
        <w:rPr>
          <w:spacing w:val="-1"/>
        </w:rPr>
        <w:t> </w:t>
      </w:r>
      <w:r>
        <w:rPr/>
        <w:t>la</w:t>
      </w:r>
      <w:r>
        <w:rPr>
          <w:spacing w:val="-1"/>
        </w:rPr>
        <w:t> </w:t>
      </w:r>
      <w:r>
        <w:rPr/>
        <w:t>experiencia</w:t>
      </w:r>
      <w:r>
        <w:rPr>
          <w:spacing w:val="-1"/>
        </w:rPr>
        <w:t> </w:t>
      </w:r>
      <w:r>
        <w:rPr/>
        <w:t>acumulada</w:t>
      </w:r>
      <w:r>
        <w:rPr>
          <w:spacing w:val="-1"/>
        </w:rPr>
        <w:t> </w:t>
      </w:r>
      <w:r>
        <w:rPr/>
        <w:t>desde</w:t>
      </w:r>
      <w:r>
        <w:rPr>
          <w:spacing w:val="-1"/>
        </w:rPr>
        <w:t> </w:t>
      </w:r>
      <w:r>
        <w:rPr/>
        <w:t>la</w:t>
      </w:r>
      <w:r>
        <w:rPr>
          <w:spacing w:val="-1"/>
        </w:rPr>
        <w:t> </w:t>
      </w:r>
      <w:r>
        <w:rPr/>
        <w:t>aprobación</w:t>
      </w:r>
      <w:r>
        <w:rPr>
          <w:spacing w:val="-1"/>
        </w:rPr>
        <w:t> </w:t>
      </w:r>
      <w:r>
        <w:rPr/>
        <w:t>de</w:t>
      </w:r>
      <w:r>
        <w:rPr>
          <w:spacing w:val="-1"/>
        </w:rPr>
        <w:t> </w:t>
      </w:r>
      <w:r>
        <w:rPr/>
        <w:t>la</w:t>
      </w:r>
      <w:r>
        <w:rPr>
          <w:spacing w:val="-1"/>
        </w:rPr>
        <w:t> </w:t>
      </w:r>
      <w:r>
        <w:rPr/>
        <w:t>Ley</w:t>
      </w:r>
      <w:r>
        <w:rPr>
          <w:spacing w:val="-1"/>
        </w:rPr>
        <w:t> </w:t>
      </w:r>
      <w:r>
        <w:rPr/>
        <w:t>30/1994,</w:t>
      </w:r>
      <w:r>
        <w:rPr>
          <w:spacing w:val="-1"/>
        </w:rPr>
        <w:t> </w:t>
      </w:r>
      <w:r>
        <w:rPr/>
        <w:t>de</w:t>
      </w:r>
      <w:r>
        <w:rPr>
          <w:spacing w:val="-1"/>
        </w:rPr>
        <w:t> </w:t>
      </w:r>
      <w:r>
        <w:rPr/>
        <w:t>24</w:t>
      </w:r>
      <w:r>
        <w:rPr>
          <w:spacing w:val="-1"/>
        </w:rPr>
        <w:t> </w:t>
      </w:r>
      <w:r>
        <w:rPr/>
        <w:t>de</w:t>
      </w:r>
      <w:r>
        <w:rPr>
          <w:spacing w:val="-1"/>
        </w:rPr>
        <w:t> </w:t>
      </w:r>
      <w:r>
        <w:rPr/>
        <w:t>noviembre, de Fundaciones y de Incentivos Fiscales a la Participación Privada en Actividades de Interés General,</w:t>
      </w:r>
      <w:r>
        <w:rPr>
          <w:spacing w:val="-3"/>
        </w:rPr>
        <w:t> </w:t>
      </w:r>
      <w:r>
        <w:rPr/>
        <w:t>hace</w:t>
      </w:r>
      <w:r>
        <w:rPr>
          <w:spacing w:val="-3"/>
        </w:rPr>
        <w:t> </w:t>
      </w:r>
      <w:r>
        <w:rPr/>
        <w:t>necesaria</w:t>
      </w:r>
      <w:r>
        <w:rPr>
          <w:spacing w:val="-3"/>
        </w:rPr>
        <w:t> </w:t>
      </w:r>
      <w:r>
        <w:rPr/>
        <w:t>una</w:t>
      </w:r>
      <w:r>
        <w:rPr>
          <w:spacing w:val="-3"/>
        </w:rPr>
        <w:t> </w:t>
      </w:r>
      <w:r>
        <w:rPr/>
        <w:t>nueva</w:t>
      </w:r>
      <w:r>
        <w:rPr>
          <w:spacing w:val="-3"/>
        </w:rPr>
        <w:t> </w:t>
      </w:r>
      <w:r>
        <w:rPr/>
        <w:t>regulación</w:t>
      </w:r>
      <w:r>
        <w:rPr>
          <w:spacing w:val="-3"/>
        </w:rPr>
        <w:t> </w:t>
      </w:r>
      <w:r>
        <w:rPr/>
        <w:t>de</w:t>
      </w:r>
      <w:r>
        <w:rPr>
          <w:spacing w:val="-3"/>
        </w:rPr>
        <w:t> </w:t>
      </w:r>
      <w:r>
        <w:rPr/>
        <w:t>los</w:t>
      </w:r>
      <w:r>
        <w:rPr>
          <w:spacing w:val="-3"/>
        </w:rPr>
        <w:t> </w:t>
      </w:r>
      <w:r>
        <w:rPr/>
        <w:t>incentivos</w:t>
      </w:r>
      <w:r>
        <w:rPr>
          <w:spacing w:val="-3"/>
        </w:rPr>
        <w:t> </w:t>
      </w:r>
      <w:r>
        <w:rPr/>
        <w:t>fiscales</w:t>
      </w:r>
      <w:r>
        <w:rPr>
          <w:spacing w:val="-3"/>
        </w:rPr>
        <w:t> </w:t>
      </w:r>
      <w:r>
        <w:rPr/>
        <w:t>que</w:t>
      </w:r>
      <w:r>
        <w:rPr>
          <w:spacing w:val="-3"/>
        </w:rPr>
        <w:t> </w:t>
      </w:r>
      <w:r>
        <w:rPr/>
        <w:t>se</w:t>
      </w:r>
      <w:r>
        <w:rPr>
          <w:spacing w:val="-3"/>
        </w:rPr>
        <w:t> </w:t>
      </w:r>
      <w:r>
        <w:rPr/>
        <w:t>contenían</w:t>
      </w:r>
      <w:r>
        <w:rPr>
          <w:spacing w:val="-3"/>
        </w:rPr>
        <w:t> </w:t>
      </w:r>
      <w:r>
        <w:rPr/>
        <w:t>en el Título II de la citada norma legal.</w:t>
      </w:r>
    </w:p>
    <w:p>
      <w:pPr>
        <w:pStyle w:val="BodyText"/>
        <w:spacing w:line="249" w:lineRule="auto" w:before="4"/>
        <w:ind w:right="1103"/>
      </w:pPr>
      <w:r>
        <w:rPr/>
        <w:t>Cuando en 1994 se promulgó la citada Ley 30/1994, el legislador ya era consciente de</w:t>
      </w:r>
      <w:r>
        <w:rPr>
          <w:spacing w:val="40"/>
        </w:rPr>
        <w:t> </w:t>
      </w:r>
      <w:r>
        <w:rPr/>
        <w:t>las dimensiones alcanzadas por el fenómeno de la participación privada en actividades de interés general, en sus diversas formas jurídicas, si bien no pudo prever entonces que dicho fenómeno, lejos de atenuar su crecimiento, tendría en España un gran desarrollo en menos de una década.</w:t>
      </w:r>
    </w:p>
    <w:p>
      <w:pPr>
        <w:pStyle w:val="BodyText"/>
        <w:spacing w:line="249" w:lineRule="auto" w:before="4"/>
        <w:ind w:right="1104"/>
      </w:pPr>
      <w:r>
        <w:rPr/>
        <w:t>La consecuencia lógica de este desarrollo ha sido que el marco normativo fiscal</w:t>
      </w:r>
      <w:r>
        <w:rPr>
          <w:spacing w:val="40"/>
        </w:rPr>
        <w:t> </w:t>
      </w:r>
      <w:r>
        <w:rPr/>
        <w:t>diseñado</w:t>
      </w:r>
      <w:r>
        <w:rPr>
          <w:spacing w:val="-2"/>
        </w:rPr>
        <w:t> </w:t>
      </w:r>
      <w:r>
        <w:rPr/>
        <w:t>en</w:t>
      </w:r>
      <w:r>
        <w:rPr>
          <w:spacing w:val="-2"/>
        </w:rPr>
        <w:t> </w:t>
      </w:r>
      <w:r>
        <w:rPr/>
        <w:t>el</w:t>
      </w:r>
      <w:r>
        <w:rPr>
          <w:spacing w:val="-2"/>
        </w:rPr>
        <w:t> </w:t>
      </w:r>
      <w:r>
        <w:rPr/>
        <w:t>Título</w:t>
      </w:r>
      <w:r>
        <w:rPr>
          <w:spacing w:val="-2"/>
        </w:rPr>
        <w:t> </w:t>
      </w:r>
      <w:r>
        <w:rPr/>
        <w:t>II</w:t>
      </w:r>
      <w:r>
        <w:rPr>
          <w:spacing w:val="-2"/>
        </w:rPr>
        <w:t> </w:t>
      </w:r>
      <w:r>
        <w:rPr/>
        <w:t>de</w:t>
      </w:r>
      <w:r>
        <w:rPr>
          <w:spacing w:val="-2"/>
        </w:rPr>
        <w:t> </w:t>
      </w:r>
      <w:r>
        <w:rPr/>
        <w:t>la</w:t>
      </w:r>
      <w:r>
        <w:rPr>
          <w:spacing w:val="-2"/>
        </w:rPr>
        <w:t> </w:t>
      </w:r>
      <w:r>
        <w:rPr/>
        <w:t>Ley</w:t>
      </w:r>
      <w:r>
        <w:rPr>
          <w:spacing w:val="-2"/>
        </w:rPr>
        <w:t> </w:t>
      </w:r>
      <w:r>
        <w:rPr/>
        <w:t>30/1994</w:t>
      </w:r>
      <w:r>
        <w:rPr>
          <w:spacing w:val="-2"/>
        </w:rPr>
        <w:t> </w:t>
      </w:r>
      <w:r>
        <w:rPr/>
        <w:t>ha</w:t>
      </w:r>
      <w:r>
        <w:rPr>
          <w:spacing w:val="-2"/>
        </w:rPr>
        <w:t> </w:t>
      </w:r>
      <w:r>
        <w:rPr/>
        <w:t>quedado</w:t>
      </w:r>
      <w:r>
        <w:rPr>
          <w:spacing w:val="-2"/>
        </w:rPr>
        <w:t> </w:t>
      </w:r>
      <w:r>
        <w:rPr/>
        <w:t>desfasado,</w:t>
      </w:r>
      <w:r>
        <w:rPr>
          <w:spacing w:val="-2"/>
        </w:rPr>
        <w:t> </w:t>
      </w:r>
      <w:r>
        <w:rPr/>
        <w:t>siendo</w:t>
      </w:r>
      <w:r>
        <w:rPr>
          <w:spacing w:val="-2"/>
        </w:rPr>
        <w:t> </w:t>
      </w:r>
      <w:r>
        <w:rPr/>
        <w:t>necesario</w:t>
      </w:r>
      <w:r>
        <w:rPr>
          <w:spacing w:val="-2"/>
        </w:rPr>
        <w:t> </w:t>
      </w:r>
      <w:r>
        <w:rPr/>
        <w:t>un</w:t>
      </w:r>
      <w:r>
        <w:rPr>
          <w:spacing w:val="-2"/>
        </w:rPr>
        <w:t> </w:t>
      </w:r>
      <w:r>
        <w:rPr/>
        <w:t>nuevo régimen fiscal para las entidades sin fines lucrativos que, adaptado a la presente realidad, flexibilice los requisitos para acogerse a los incentivos que prevé esta Ley y dote de seguridad</w:t>
      </w:r>
      <w:r>
        <w:rPr>
          <w:spacing w:val="-2"/>
        </w:rPr>
        <w:t> </w:t>
      </w:r>
      <w:r>
        <w:rPr/>
        <w:t>jurídica</w:t>
      </w:r>
      <w:r>
        <w:rPr>
          <w:spacing w:val="-2"/>
        </w:rPr>
        <w:t> </w:t>
      </w:r>
      <w:r>
        <w:rPr/>
        <w:t>suficiente</w:t>
      </w:r>
      <w:r>
        <w:rPr>
          <w:spacing w:val="-2"/>
        </w:rPr>
        <w:t> </w:t>
      </w:r>
      <w:r>
        <w:rPr/>
        <w:t>a</w:t>
      </w:r>
      <w:r>
        <w:rPr>
          <w:spacing w:val="-2"/>
        </w:rPr>
        <w:t> </w:t>
      </w:r>
      <w:r>
        <w:rPr/>
        <w:t>tales</w:t>
      </w:r>
      <w:r>
        <w:rPr>
          <w:spacing w:val="-2"/>
        </w:rPr>
        <w:t> </w:t>
      </w:r>
      <w:r>
        <w:rPr/>
        <w:t>entidades</w:t>
      </w:r>
      <w:r>
        <w:rPr>
          <w:spacing w:val="-2"/>
        </w:rPr>
        <w:t> </w:t>
      </w:r>
      <w:r>
        <w:rPr/>
        <w:t>en</w:t>
      </w:r>
      <w:r>
        <w:rPr>
          <w:spacing w:val="-2"/>
        </w:rPr>
        <w:t> </w:t>
      </w:r>
      <w:r>
        <w:rPr/>
        <w:t>el</w:t>
      </w:r>
      <w:r>
        <w:rPr>
          <w:spacing w:val="-2"/>
        </w:rPr>
        <w:t> </w:t>
      </w:r>
      <w:r>
        <w:rPr/>
        <w:t>desarrollo</w:t>
      </w:r>
      <w:r>
        <w:rPr>
          <w:spacing w:val="-2"/>
        </w:rPr>
        <w:t> </w:t>
      </w:r>
      <w:r>
        <w:rPr/>
        <w:t>de</w:t>
      </w:r>
      <w:r>
        <w:rPr>
          <w:spacing w:val="-2"/>
        </w:rPr>
        <w:t> </w:t>
      </w:r>
      <w:r>
        <w:rPr/>
        <w:t>las</w:t>
      </w:r>
      <w:r>
        <w:rPr>
          <w:spacing w:val="-2"/>
        </w:rPr>
        <w:t> </w:t>
      </w:r>
      <w:r>
        <w:rPr/>
        <w:t>actividades</w:t>
      </w:r>
      <w:r>
        <w:rPr>
          <w:spacing w:val="-2"/>
        </w:rPr>
        <w:t> </w:t>
      </w:r>
      <w:r>
        <w:rPr/>
        <w:t>que</w:t>
      </w:r>
      <w:r>
        <w:rPr>
          <w:spacing w:val="-2"/>
        </w:rPr>
        <w:t> </w:t>
      </w:r>
      <w:r>
        <w:rPr/>
        <w:t>realicen en cumplimiento de los fines de interés general que persiguen.</w:t>
      </w:r>
    </w:p>
    <w:p>
      <w:pPr>
        <w:pStyle w:val="BodyText"/>
        <w:spacing w:line="249" w:lineRule="auto" w:before="5"/>
        <w:ind w:right="1104"/>
      </w:pPr>
      <w:r>
        <w:rPr/>
        <w:t>La</w:t>
      </w:r>
      <w:r>
        <w:rPr>
          <w:spacing w:val="-1"/>
        </w:rPr>
        <w:t> </w:t>
      </w:r>
      <w:r>
        <w:rPr/>
        <w:t>finalidad</w:t>
      </w:r>
      <w:r>
        <w:rPr>
          <w:spacing w:val="-1"/>
        </w:rPr>
        <w:t> </w:t>
      </w:r>
      <w:r>
        <w:rPr/>
        <w:t>que</w:t>
      </w:r>
      <w:r>
        <w:rPr>
          <w:spacing w:val="-1"/>
        </w:rPr>
        <w:t> </w:t>
      </w:r>
      <w:r>
        <w:rPr/>
        <w:t>persigue</w:t>
      </w:r>
      <w:r>
        <w:rPr>
          <w:spacing w:val="-1"/>
        </w:rPr>
        <w:t> </w:t>
      </w:r>
      <w:r>
        <w:rPr/>
        <w:t>la</w:t>
      </w:r>
      <w:r>
        <w:rPr>
          <w:spacing w:val="-1"/>
        </w:rPr>
        <w:t> </w:t>
      </w:r>
      <w:r>
        <w:rPr/>
        <w:t>Ley</w:t>
      </w:r>
      <w:r>
        <w:rPr>
          <w:spacing w:val="-1"/>
        </w:rPr>
        <w:t> </w:t>
      </w:r>
      <w:r>
        <w:rPr/>
        <w:t>es</w:t>
      </w:r>
      <w:r>
        <w:rPr>
          <w:spacing w:val="-1"/>
        </w:rPr>
        <w:t> </w:t>
      </w:r>
      <w:r>
        <w:rPr/>
        <w:t>más</w:t>
      </w:r>
      <w:r>
        <w:rPr>
          <w:spacing w:val="-1"/>
        </w:rPr>
        <w:t> </w:t>
      </w:r>
      <w:r>
        <w:rPr/>
        <w:t>ambiciosa</w:t>
      </w:r>
      <w:r>
        <w:rPr>
          <w:spacing w:val="-1"/>
        </w:rPr>
        <w:t> </w:t>
      </w:r>
      <w:r>
        <w:rPr/>
        <w:t>que</w:t>
      </w:r>
      <w:r>
        <w:rPr>
          <w:spacing w:val="-1"/>
        </w:rPr>
        <w:t> </w:t>
      </w:r>
      <w:r>
        <w:rPr/>
        <w:t>la</w:t>
      </w:r>
      <w:r>
        <w:rPr>
          <w:spacing w:val="-1"/>
        </w:rPr>
        <w:t> </w:t>
      </w:r>
      <w:r>
        <w:rPr/>
        <w:t>mera</w:t>
      </w:r>
      <w:r>
        <w:rPr>
          <w:spacing w:val="-1"/>
        </w:rPr>
        <w:t> </w:t>
      </w:r>
      <w:r>
        <w:rPr/>
        <w:t>regulación</w:t>
      </w:r>
      <w:r>
        <w:rPr>
          <w:spacing w:val="-1"/>
        </w:rPr>
        <w:t> </w:t>
      </w:r>
      <w:r>
        <w:rPr/>
        <w:t>de</w:t>
      </w:r>
      <w:r>
        <w:rPr>
          <w:spacing w:val="-1"/>
        </w:rPr>
        <w:t> </w:t>
      </w:r>
      <w:r>
        <w:rPr/>
        <w:t>un</w:t>
      </w:r>
      <w:r>
        <w:rPr>
          <w:spacing w:val="-1"/>
        </w:rPr>
        <w:t> </w:t>
      </w:r>
      <w:r>
        <w:rPr/>
        <w:t>régimen fiscal propio de las entidades sin fines lucrativos, ya que, como su propio título indica, esta norma viene a establecer también el conjunto de incentivos que son aplicables a la actividad de mecenazgo realizada por particulares. En efecto, si bien la Ley 30/1994 contenía ya una serie de preceptos destinados a estimular la participación del sector privado en las actividades de interés general, la realidad permite constatar que su eficacia ha sido limitada.</w:t>
      </w:r>
    </w:p>
    <w:p>
      <w:pPr>
        <w:pStyle w:val="BodyText"/>
        <w:spacing w:line="249" w:lineRule="auto" w:before="5"/>
        <w:ind w:right="1103"/>
      </w:pPr>
      <w:r>
        <w:rPr/>
        <w:t>Se hace necesaria, por tanto, una Ley como la presente, que ayude a encauzar los esfuerzos privados en actividades de interés general de un modo más eficaz, manteniendo y ampliando algunos de los incentivos previstos en la normativa anterior y estableciendo otros nuevos, más acordes con las nuevas formas de participación de la sociedad en la</w:t>
      </w:r>
      <w:r>
        <w:rPr>
          <w:spacing w:val="80"/>
        </w:rPr>
        <w:t> </w:t>
      </w:r>
      <w:r>
        <w:rPr/>
        <w:t>protección, el desarrollo y el estímulo del interés general.</w:t>
      </w:r>
    </w:p>
    <w:p>
      <w:pPr>
        <w:pStyle w:val="BodyText"/>
        <w:spacing w:line="249" w:lineRule="auto" w:before="4"/>
        <w:ind w:right="1104"/>
      </w:pPr>
      <w:r>
        <w:rPr/>
        <w:t>En consecuencia, esta Ley, dictada al amparo del artículo 149.1.14.ª de la Constitución y sin perjuicio de los regímenes tributarios forales, tiene una finalidad eminentemente incentivadora de la colaboración particular en la consecución de fines de interés general, en atención y reconocimiento a la cada vez mayor presencia del sector privado en la tarea de proteger y promover actuaciones caracterizadas por la ausencia de ánimo de lucro, cuya única finalidad es de naturaleza general y pública.</w:t>
      </w:r>
    </w:p>
    <w:p>
      <w:pPr>
        <w:pStyle w:val="BodyText"/>
        <w:spacing w:before="59"/>
        <w:ind w:left="0" w:firstLine="0"/>
        <w:jc w:val="left"/>
      </w:pPr>
    </w:p>
    <w:p>
      <w:pPr>
        <w:pStyle w:val="BodyText"/>
        <w:spacing w:before="0"/>
        <w:ind w:left="1863" w:right="2712" w:firstLine="0"/>
        <w:jc w:val="center"/>
      </w:pPr>
      <w:r>
        <w:rPr>
          <w:spacing w:val="-5"/>
        </w:rPr>
        <w:t>II</w:t>
      </w:r>
    </w:p>
    <w:p>
      <w:pPr>
        <w:pStyle w:val="BodyText"/>
        <w:spacing w:line="249" w:lineRule="auto" w:before="123"/>
        <w:ind w:right="1105"/>
      </w:pPr>
      <w:r>
        <w:rPr/>
        <w:t>La Ley está estructurada en tres Títulos, veintisiete artículos y las correspondientes disposiciones adicionales, transitorias, derogatoria y finales.</w:t>
      </w:r>
    </w:p>
    <w:p>
      <w:pPr>
        <w:pStyle w:val="BodyText"/>
        <w:spacing w:line="249" w:lineRule="auto"/>
        <w:ind w:right="1103"/>
      </w:pPr>
      <w:r>
        <w:rPr/>
        <w:t>El Título I define el objeto de la Ley y su ámbito de aplicación, introduciendo, como novedad, una mención expresa a los regímenes forales en vigor en la Comunidad Autónoma</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right="1105" w:hanging="1"/>
      </w:pPr>
      <w:r>
        <w:rPr/>
        <w:t>del País Vasco y en la Comunidad Foral de Navarra, así como a los convenios y tratados internacionales que han pasado a formar parte del ordenamiento interno español.</w:t>
      </w:r>
    </w:p>
    <w:p>
      <w:pPr>
        <w:pStyle w:val="BodyText"/>
        <w:spacing w:line="249" w:lineRule="auto" w:before="1"/>
        <w:ind w:right="1103"/>
      </w:pPr>
      <w:r>
        <w:rPr/>
        <w:t>En el Título II se regula el régimen fiscal especial aplicable a las entidades sin fines lucrativos, el cual se apoya sobre tres pilares básicos: el concepto de entidad sin fines lucrativos a los efectos de la Ley, la tributación de dichas entidades por el Impuesto sobre Sociedades y la fiscalidad en materia de tributos locales.</w:t>
      </w:r>
    </w:p>
    <w:p>
      <w:pPr>
        <w:pStyle w:val="BodyText"/>
        <w:spacing w:line="249" w:lineRule="auto" w:before="4"/>
        <w:ind w:right="1104"/>
      </w:pPr>
      <w:r>
        <w:rPr/>
        <w:t>Así, se fijan unas normas generales en virtud de las cuales se establece el concepto de entidad sin fines lucrativos a efectos de esta Ley.</w:t>
      </w:r>
    </w:p>
    <w:p>
      <w:pPr>
        <w:pStyle w:val="BodyText"/>
        <w:spacing w:line="249" w:lineRule="auto" w:before="1"/>
        <w:ind w:right="1103"/>
      </w:pPr>
      <w:r>
        <w:rPr/>
        <w:t>El régimen fiscal especial es voluntario, de tal manera que podrán aplicarlo las entidades que, cumpliendo determinados requisitos, opten por él y comuniquen la opción al Ministerio de Hacienda.</w:t>
      </w:r>
    </w:p>
    <w:p>
      <w:pPr>
        <w:pStyle w:val="BodyText"/>
        <w:spacing w:line="249" w:lineRule="auto" w:before="3"/>
        <w:ind w:right="1105"/>
      </w:pPr>
      <w:r>
        <w:rPr/>
        <w:t>La justificación de estos requisitos obedece a la intención de asegurar que el régimen fiscal especial que se establece para las entidades sin fines lucrativos se traduce en el destino de las rentas que obtengan a fines y actividades de interés general.</w:t>
      </w:r>
    </w:p>
    <w:p>
      <w:pPr>
        <w:pStyle w:val="BodyText"/>
        <w:ind w:left="595" w:firstLine="0"/>
      </w:pPr>
      <w:r>
        <w:rPr/>
        <w:t>En</w:t>
      </w:r>
      <w:r>
        <w:rPr>
          <w:spacing w:val="-4"/>
        </w:rPr>
        <w:t> </w:t>
      </w:r>
      <w:r>
        <w:rPr/>
        <w:t>relación</w:t>
      </w:r>
      <w:r>
        <w:rPr>
          <w:spacing w:val="-2"/>
        </w:rPr>
        <w:t> </w:t>
      </w:r>
      <w:r>
        <w:rPr/>
        <w:t>con</w:t>
      </w:r>
      <w:r>
        <w:rPr>
          <w:spacing w:val="-2"/>
        </w:rPr>
        <w:t> </w:t>
      </w:r>
      <w:r>
        <w:rPr/>
        <w:t>tales</w:t>
      </w:r>
      <w:r>
        <w:rPr>
          <w:spacing w:val="-2"/>
        </w:rPr>
        <w:t> </w:t>
      </w:r>
      <w:r>
        <w:rPr/>
        <w:t>requisitos,</w:t>
      </w:r>
      <w:r>
        <w:rPr>
          <w:spacing w:val="-2"/>
        </w:rPr>
        <w:t> </w:t>
      </w:r>
      <w:r>
        <w:rPr/>
        <w:t>merece</w:t>
      </w:r>
      <w:r>
        <w:rPr>
          <w:spacing w:val="-2"/>
        </w:rPr>
        <w:t> </w:t>
      </w:r>
      <w:r>
        <w:rPr/>
        <w:t>destacar</w:t>
      </w:r>
      <w:r>
        <w:rPr>
          <w:spacing w:val="-2"/>
        </w:rPr>
        <w:t> </w:t>
      </w:r>
      <w:r>
        <w:rPr/>
        <w:t>los</w:t>
      </w:r>
      <w:r>
        <w:rPr>
          <w:spacing w:val="-1"/>
        </w:rPr>
        <w:t> </w:t>
      </w:r>
      <w:r>
        <w:rPr>
          <w:spacing w:val="-2"/>
        </w:rPr>
        <w:t>siguientes:</w:t>
      </w:r>
    </w:p>
    <w:p>
      <w:pPr>
        <w:pStyle w:val="BodyText"/>
        <w:spacing w:line="249" w:lineRule="auto" w:before="130"/>
        <w:ind w:right="1103"/>
      </w:pPr>
      <w:r>
        <w:rPr/>
        <w:t>Se</w:t>
      </w:r>
      <w:r>
        <w:rPr>
          <w:spacing w:val="-3"/>
        </w:rPr>
        <w:t> </w:t>
      </w:r>
      <w:r>
        <w:rPr/>
        <w:t>mantiene</w:t>
      </w:r>
      <w:r>
        <w:rPr>
          <w:spacing w:val="-3"/>
        </w:rPr>
        <w:t> </w:t>
      </w:r>
      <w:r>
        <w:rPr/>
        <w:t>el</w:t>
      </w:r>
      <w:r>
        <w:rPr>
          <w:spacing w:val="-3"/>
        </w:rPr>
        <w:t> </w:t>
      </w:r>
      <w:r>
        <w:rPr/>
        <w:t>requisito,</w:t>
      </w:r>
      <w:r>
        <w:rPr>
          <w:spacing w:val="-3"/>
        </w:rPr>
        <w:t> </w:t>
      </w:r>
      <w:r>
        <w:rPr/>
        <w:t>previsto</w:t>
      </w:r>
      <w:r>
        <w:rPr>
          <w:spacing w:val="-3"/>
        </w:rPr>
        <w:t> </w:t>
      </w:r>
      <w:r>
        <w:rPr/>
        <w:t>en</w:t>
      </w:r>
      <w:r>
        <w:rPr>
          <w:spacing w:val="-3"/>
        </w:rPr>
        <w:t> </w:t>
      </w:r>
      <w:r>
        <w:rPr/>
        <w:t>la</w:t>
      </w:r>
      <w:r>
        <w:rPr>
          <w:spacing w:val="-3"/>
        </w:rPr>
        <w:t> </w:t>
      </w:r>
      <w:r>
        <w:rPr/>
        <w:t>legislación</w:t>
      </w:r>
      <w:r>
        <w:rPr>
          <w:spacing w:val="-3"/>
        </w:rPr>
        <w:t> </w:t>
      </w:r>
      <w:r>
        <w:rPr/>
        <w:t>anterior,</w:t>
      </w:r>
      <w:r>
        <w:rPr>
          <w:spacing w:val="-3"/>
        </w:rPr>
        <w:t> </w:t>
      </w:r>
      <w:r>
        <w:rPr/>
        <w:t>de</w:t>
      </w:r>
      <w:r>
        <w:rPr>
          <w:spacing w:val="-3"/>
        </w:rPr>
        <w:t> </w:t>
      </w:r>
      <w:r>
        <w:rPr/>
        <w:t>destinar</w:t>
      </w:r>
      <w:r>
        <w:rPr>
          <w:spacing w:val="-3"/>
        </w:rPr>
        <w:t> </w:t>
      </w:r>
      <w:r>
        <w:rPr/>
        <w:t>a</w:t>
      </w:r>
      <w:r>
        <w:rPr>
          <w:spacing w:val="-3"/>
        </w:rPr>
        <w:t> </w:t>
      </w:r>
      <w:r>
        <w:rPr/>
        <w:t>la</w:t>
      </w:r>
      <w:r>
        <w:rPr>
          <w:spacing w:val="-3"/>
        </w:rPr>
        <w:t> </w:t>
      </w:r>
      <w:r>
        <w:rPr/>
        <w:t>realización</w:t>
      </w:r>
      <w:r>
        <w:rPr>
          <w:spacing w:val="-3"/>
        </w:rPr>
        <w:t> </w:t>
      </w:r>
      <w:r>
        <w:rPr/>
        <w:t>de los fines de interés general al menos el 70 por 100 del resultado de las explotaciones económicas que realicen y de los ingresos que obtengan por cualquier otro concepto minorados en los gastos realizados para su obtención. Se establece el requisito de que el importe restante, el que no ha sido aplicado a los fines de interés general, se destine a incrementar la dotación patrimonial o las reservas de las entidades sin fines lucrativos.</w:t>
      </w:r>
    </w:p>
    <w:p>
      <w:pPr>
        <w:pStyle w:val="BodyText"/>
        <w:spacing w:line="249" w:lineRule="auto" w:before="5"/>
        <w:ind w:right="1102"/>
      </w:pPr>
      <w:r>
        <w:rPr/>
        <w:t>Se aclara que los gastos realizados para la obtención de tales ingresos podrán estar integrados, en su caso, por la parte proporcional de los gastos por servicios exteriores, de</w:t>
      </w:r>
      <w:r>
        <w:rPr>
          <w:spacing w:val="80"/>
        </w:rPr>
        <w:t> </w:t>
      </w:r>
      <w:r>
        <w:rPr/>
        <w:t>los gastos de personal, de otros gastos de gestión, de los gastos financieros y de los</w:t>
      </w:r>
      <w:r>
        <w:rPr>
          <w:spacing w:val="80"/>
        </w:rPr>
        <w:t> </w:t>
      </w:r>
      <w:r>
        <w:rPr/>
        <w:t>tributos, en cuanto que contribuyan a la obtención de los ingresos y excluyendo de este cálculo los gastos realizados para el cumplimiento de los fines estatutarios o del objeto de la entidad sin fines lucrativos.</w:t>
      </w:r>
    </w:p>
    <w:p>
      <w:pPr>
        <w:pStyle w:val="BodyText"/>
        <w:spacing w:line="249" w:lineRule="auto" w:before="5"/>
        <w:ind w:right="1104"/>
      </w:pPr>
      <w:r>
        <w:rPr/>
        <w:t>A efectos del requisito a que se refiere el primer párrafo, se excluye del cómputo de los ingresos, junto con lo recibido en concepto de dotación patrimonial, el importe de los</w:t>
      </w:r>
      <w:r>
        <w:rPr>
          <w:spacing w:val="40"/>
        </w:rPr>
        <w:t> </w:t>
      </w:r>
      <w:r>
        <w:rPr/>
        <w:t>ingresos obtenidos en la enajenación de bienes inmuebles en los que la entidad desarrolle</w:t>
      </w:r>
      <w:r>
        <w:rPr>
          <w:spacing w:val="40"/>
        </w:rPr>
        <w:t> </w:t>
      </w:r>
      <w:r>
        <w:rPr/>
        <w:t>su actividad propia, siempre que el importe total de la transmisión se reinvierta en bienes inmuebles en que concurra también tal circunstancia.</w:t>
      </w:r>
    </w:p>
    <w:p>
      <w:pPr>
        <w:pStyle w:val="BodyText"/>
        <w:spacing w:line="249" w:lineRule="auto" w:before="4"/>
        <w:ind w:right="1104"/>
      </w:pPr>
      <w:r>
        <w:rPr/>
        <w:t>El plazo general para destinar las rentas obtenidas por la entidad sin fines lucrativos a fines de interés general será el comprendido entre el inicio del ejercicio en que se hayan obtenido los respectivos resultados e ingresos y los cuatro años siguientes al cierre de dicho </w:t>
      </w:r>
      <w:r>
        <w:rPr>
          <w:spacing w:val="-2"/>
        </w:rPr>
        <w:t>ejercicio.</w:t>
      </w:r>
    </w:p>
    <w:p>
      <w:pPr>
        <w:pStyle w:val="BodyText"/>
        <w:spacing w:line="249" w:lineRule="auto" w:before="3"/>
        <w:ind w:right="1103"/>
      </w:pPr>
      <w:r>
        <w:rPr/>
        <w:t>Las entidades sin fines lucrativos podrán adquirir libremente participaciones en sociedades mercantiles.</w:t>
      </w:r>
    </w:p>
    <w:p>
      <w:pPr>
        <w:pStyle w:val="BodyText"/>
        <w:spacing w:line="249" w:lineRule="auto"/>
        <w:ind w:right="1104"/>
      </w:pPr>
      <w:r>
        <w:rPr/>
        <w:t>Se establece como nuevo requisito que el importe neto de la cifra de negocios del ejercicio</w:t>
      </w:r>
      <w:r>
        <w:rPr>
          <w:spacing w:val="-1"/>
        </w:rPr>
        <w:t> </w:t>
      </w:r>
      <w:r>
        <w:rPr/>
        <w:t>correspondiente</w:t>
      </w:r>
      <w:r>
        <w:rPr>
          <w:spacing w:val="-1"/>
        </w:rPr>
        <w:t> </w:t>
      </w:r>
      <w:r>
        <w:rPr/>
        <w:t>al</w:t>
      </w:r>
      <w:r>
        <w:rPr>
          <w:spacing w:val="-1"/>
        </w:rPr>
        <w:t> </w:t>
      </w:r>
      <w:r>
        <w:rPr/>
        <w:t>conjunto</w:t>
      </w:r>
      <w:r>
        <w:rPr>
          <w:spacing w:val="-1"/>
        </w:rPr>
        <w:t> </w:t>
      </w:r>
      <w:r>
        <w:rPr/>
        <w:t>de</w:t>
      </w:r>
      <w:r>
        <w:rPr>
          <w:spacing w:val="-1"/>
        </w:rPr>
        <w:t> </w:t>
      </w:r>
      <w:r>
        <w:rPr/>
        <w:t>las</w:t>
      </w:r>
      <w:r>
        <w:rPr>
          <w:spacing w:val="-1"/>
        </w:rPr>
        <w:t> </w:t>
      </w:r>
      <w:r>
        <w:rPr/>
        <w:t>actividades</w:t>
      </w:r>
      <w:r>
        <w:rPr>
          <w:spacing w:val="-1"/>
        </w:rPr>
        <w:t> </w:t>
      </w:r>
      <w:r>
        <w:rPr/>
        <w:t>económicas</w:t>
      </w:r>
      <w:r>
        <w:rPr>
          <w:spacing w:val="-1"/>
        </w:rPr>
        <w:t> </w:t>
      </w:r>
      <w:r>
        <w:rPr/>
        <w:t>no</w:t>
      </w:r>
      <w:r>
        <w:rPr>
          <w:spacing w:val="-1"/>
        </w:rPr>
        <w:t> </w:t>
      </w:r>
      <w:r>
        <w:rPr/>
        <w:t>exentas</w:t>
      </w:r>
      <w:r>
        <w:rPr>
          <w:spacing w:val="-1"/>
        </w:rPr>
        <w:t> </w:t>
      </w:r>
      <w:r>
        <w:rPr/>
        <w:t>del</w:t>
      </w:r>
      <w:r>
        <w:rPr>
          <w:spacing w:val="-1"/>
        </w:rPr>
        <w:t> </w:t>
      </w:r>
      <w:r>
        <w:rPr/>
        <w:t>Impuesto sobre Sociedades no supere el 40 por 100 de los ingresos totales de la entidad, y el desarrollo de estas actividades no vulnere las normas reguladoras de defensa de la </w:t>
      </w:r>
      <w:r>
        <w:rPr>
          <w:spacing w:val="-2"/>
        </w:rPr>
        <w:t>competencia.</w:t>
      </w:r>
    </w:p>
    <w:p>
      <w:pPr>
        <w:pStyle w:val="BodyText"/>
        <w:spacing w:line="249" w:lineRule="auto" w:before="4"/>
        <w:ind w:right="1103"/>
      </w:pPr>
      <w:r>
        <w:rPr/>
        <w:t>Para acogerse al régimen fiscal especial, los órganos rectores deben ser gratuitos, aunque puedan ser retribuidos por el desempeño de servicios distintos de los propios del </w:t>
      </w:r>
      <w:r>
        <w:rPr>
          <w:spacing w:val="-2"/>
        </w:rPr>
        <w:t>cargo.</w:t>
      </w:r>
    </w:p>
    <w:p>
      <w:pPr>
        <w:pStyle w:val="BodyText"/>
        <w:spacing w:line="249" w:lineRule="auto" w:before="3"/>
        <w:ind w:right="1104"/>
      </w:pPr>
      <w:r>
        <w:rPr/>
        <w:t>Dicha gratuidad también se extiende a los administradores de entidades mercantiles que representen a las entidades sin fines lucrativos que participen en su capital, estableciéndose que, en estos casos, la retribución percibida por el administrador estará exenta del Impuesto sobre la Renta de las Personas Físicas, y no existirá obligación de practicar retención a cuenta de este impuesto.</w:t>
      </w:r>
    </w:p>
    <w:p>
      <w:pPr>
        <w:pStyle w:val="BodyText"/>
        <w:spacing w:line="249" w:lineRule="auto" w:before="4"/>
        <w:ind w:right="1104"/>
      </w:pPr>
      <w:r>
        <w:rPr/>
        <w:t>Esta Ley regula de forma mucho más minuciosa el requisito relativo al destino del patrimonio de estas entidades en caso de disolución, que habrá de ser, en cualquier caso, otra entidad beneficiaria del mecenazgo de las definidas en la Ley, o una entidad pública, de naturaleza no fundacional, que persiga también el interés general. Esta regulación se complementa con la previsión expresa de la pérdida del régimen fiscal especial para las entidades cuyo régimen jurídico permita la reversión del patrimonio de la entidad, salvo que,</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right="1106" w:hanging="1"/>
      </w:pPr>
      <w:r>
        <w:rPr/>
        <w:t>como es lógico, la reversión está prevista en favor de alguna entidad beneficiaria del </w:t>
      </w:r>
      <w:r>
        <w:rPr>
          <w:spacing w:val="-2"/>
        </w:rPr>
        <w:t>mecenazgo.</w:t>
      </w:r>
    </w:p>
    <w:p>
      <w:pPr>
        <w:pStyle w:val="BodyText"/>
        <w:spacing w:line="249" w:lineRule="auto" w:before="1"/>
        <w:ind w:right="1104"/>
      </w:pPr>
      <w:r>
        <w:rPr/>
        <w:t>La rendición de cuentas, en ausencia de legislación específica, antes de transcurridos seis meses desde el cierre de su ejercicio, ante el organismo público encargado del registro en que deban estar inscritas.</w:t>
      </w:r>
    </w:p>
    <w:p>
      <w:pPr>
        <w:pStyle w:val="BodyText"/>
        <w:spacing w:line="249" w:lineRule="auto" w:before="3"/>
        <w:ind w:right="1104"/>
      </w:pPr>
      <w:r>
        <w:rPr/>
        <w:t>La elaboración de una memoria económica anual que especifique, por categorías y por proyectos, los ingresos y gastos del ejercicio y que incluya el porcentaje de participación que mantengan en entidades mercantiles.</w:t>
      </w:r>
    </w:p>
    <w:p>
      <w:pPr>
        <w:pStyle w:val="BodyText"/>
        <w:spacing w:line="249" w:lineRule="auto"/>
        <w:ind w:right="1103"/>
      </w:pPr>
      <w:r>
        <w:rPr/>
        <w:t>Como es lógico, la aplicación del régimen fiscal especial está condicionada al cumplimiento de los requisitos y supuestos de hecho relativos al mismo, de manera que el incumplimiento de cualquiera de ellos conlleva la pérdida del régimen fiscal especial y la obligación</w:t>
      </w:r>
      <w:r>
        <w:rPr>
          <w:spacing w:val="-2"/>
        </w:rPr>
        <w:t> </w:t>
      </w:r>
      <w:r>
        <w:rPr/>
        <w:t>de</w:t>
      </w:r>
      <w:r>
        <w:rPr>
          <w:spacing w:val="-2"/>
        </w:rPr>
        <w:t> </w:t>
      </w:r>
      <w:r>
        <w:rPr/>
        <w:t>ingresar</w:t>
      </w:r>
      <w:r>
        <w:rPr>
          <w:spacing w:val="-2"/>
        </w:rPr>
        <w:t> </w:t>
      </w:r>
      <w:r>
        <w:rPr/>
        <w:t>las</w:t>
      </w:r>
      <w:r>
        <w:rPr>
          <w:spacing w:val="-2"/>
        </w:rPr>
        <w:t> </w:t>
      </w:r>
      <w:r>
        <w:rPr/>
        <w:t>cuotas</w:t>
      </w:r>
      <w:r>
        <w:rPr>
          <w:spacing w:val="-2"/>
        </w:rPr>
        <w:t> </w:t>
      </w:r>
      <w:r>
        <w:rPr/>
        <w:t>de</w:t>
      </w:r>
      <w:r>
        <w:rPr>
          <w:spacing w:val="-2"/>
        </w:rPr>
        <w:t> </w:t>
      </w:r>
      <w:r>
        <w:rPr/>
        <w:t>los</w:t>
      </w:r>
      <w:r>
        <w:rPr>
          <w:spacing w:val="-2"/>
        </w:rPr>
        <w:t> </w:t>
      </w:r>
      <w:r>
        <w:rPr/>
        <w:t>tributos</w:t>
      </w:r>
      <w:r>
        <w:rPr>
          <w:spacing w:val="-2"/>
        </w:rPr>
        <w:t> </w:t>
      </w:r>
      <w:r>
        <w:rPr/>
        <w:t>devengados</w:t>
      </w:r>
      <w:r>
        <w:rPr>
          <w:spacing w:val="-2"/>
        </w:rPr>
        <w:t> </w:t>
      </w:r>
      <w:r>
        <w:rPr/>
        <w:t>durante</w:t>
      </w:r>
      <w:r>
        <w:rPr>
          <w:spacing w:val="-2"/>
        </w:rPr>
        <w:t> </w:t>
      </w:r>
      <w:r>
        <w:rPr/>
        <w:t>el</w:t>
      </w:r>
      <w:r>
        <w:rPr>
          <w:spacing w:val="-2"/>
        </w:rPr>
        <w:t> </w:t>
      </w:r>
      <w:r>
        <w:rPr/>
        <w:t>ejercicio</w:t>
      </w:r>
      <w:r>
        <w:rPr>
          <w:spacing w:val="-2"/>
        </w:rPr>
        <w:t> </w:t>
      </w:r>
      <w:r>
        <w:rPr/>
        <w:t>fiscal</w:t>
      </w:r>
      <w:r>
        <w:rPr>
          <w:spacing w:val="-2"/>
        </w:rPr>
        <w:t> </w:t>
      </w:r>
      <w:r>
        <w:rPr/>
        <w:t>en</w:t>
      </w:r>
      <w:r>
        <w:rPr>
          <w:spacing w:val="-2"/>
        </w:rPr>
        <w:t> </w:t>
      </w:r>
      <w:r>
        <w:rPr/>
        <w:t>que se produzca el incumplimiento, junto con los intereses de demora que procedan.</w:t>
      </w:r>
    </w:p>
    <w:p>
      <w:pPr>
        <w:pStyle w:val="BodyText"/>
        <w:spacing w:line="249" w:lineRule="auto" w:before="4"/>
        <w:ind w:right="1106"/>
      </w:pPr>
      <w:r>
        <w:rPr/>
        <w:t>Por lo que se refiere a la tributación de las entidades sin fines lucrativos por el impuesto sobre Sociedades, la Ley introduce novedades significativas.</w:t>
      </w:r>
    </w:p>
    <w:p>
      <w:pPr>
        <w:pStyle w:val="BodyText"/>
        <w:spacing w:line="249" w:lineRule="auto"/>
        <w:ind w:right="1103"/>
      </w:pPr>
      <w:r>
        <w:rPr/>
        <w:t>Así, se declara la exención de las siguientes rentas: las derivadas de los ingresos obtenidos sin contraprestación; las procedentes del patrimonio mobiliario e inmobiliario de la entidad,</w:t>
      </w:r>
      <w:r>
        <w:rPr>
          <w:spacing w:val="-3"/>
        </w:rPr>
        <w:t> </w:t>
      </w:r>
      <w:r>
        <w:rPr/>
        <w:t>como</w:t>
      </w:r>
      <w:r>
        <w:rPr>
          <w:spacing w:val="-3"/>
        </w:rPr>
        <w:t> </w:t>
      </w:r>
      <w:r>
        <w:rPr/>
        <w:t>los</w:t>
      </w:r>
      <w:r>
        <w:rPr>
          <w:spacing w:val="-3"/>
        </w:rPr>
        <w:t> </w:t>
      </w:r>
      <w:r>
        <w:rPr/>
        <w:t>dividendos,</w:t>
      </w:r>
      <w:r>
        <w:rPr>
          <w:spacing w:val="-3"/>
        </w:rPr>
        <w:t> </w:t>
      </w:r>
      <w:r>
        <w:rPr/>
        <w:t>intereses,</w:t>
      </w:r>
      <w:r>
        <w:rPr>
          <w:spacing w:val="-3"/>
        </w:rPr>
        <w:t> </w:t>
      </w:r>
      <w:r>
        <w:rPr/>
        <w:t>cánones</w:t>
      </w:r>
      <w:r>
        <w:rPr>
          <w:spacing w:val="-3"/>
        </w:rPr>
        <w:t> </w:t>
      </w:r>
      <w:r>
        <w:rPr/>
        <w:t>y</w:t>
      </w:r>
      <w:r>
        <w:rPr>
          <w:spacing w:val="-3"/>
        </w:rPr>
        <w:t> </w:t>
      </w:r>
      <w:r>
        <w:rPr/>
        <w:t>alquileres;</w:t>
      </w:r>
      <w:r>
        <w:rPr>
          <w:spacing w:val="-3"/>
        </w:rPr>
        <w:t> </w:t>
      </w:r>
      <w:r>
        <w:rPr/>
        <w:t>las</w:t>
      </w:r>
      <w:r>
        <w:rPr>
          <w:spacing w:val="-3"/>
        </w:rPr>
        <w:t> </w:t>
      </w:r>
      <w:r>
        <w:rPr/>
        <w:t>derivadas</w:t>
      </w:r>
      <w:r>
        <w:rPr>
          <w:spacing w:val="-3"/>
        </w:rPr>
        <w:t> </w:t>
      </w:r>
      <w:r>
        <w:rPr/>
        <w:t>de</w:t>
      </w:r>
      <w:r>
        <w:rPr>
          <w:spacing w:val="-3"/>
        </w:rPr>
        <w:t> </w:t>
      </w:r>
      <w:r>
        <w:rPr/>
        <w:t>adquisiciones o de transmisiones, por cualquier título, de bienes o derechos; las obtenidas en el ejercicio</w:t>
      </w:r>
      <w:r>
        <w:rPr>
          <w:spacing w:val="40"/>
        </w:rPr>
        <w:t> </w:t>
      </w:r>
      <w:r>
        <w:rPr/>
        <w:t>de</w:t>
      </w:r>
      <w:r>
        <w:rPr>
          <w:spacing w:val="-3"/>
        </w:rPr>
        <w:t> </w:t>
      </w:r>
      <w:r>
        <w:rPr/>
        <w:t>las</w:t>
      </w:r>
      <w:r>
        <w:rPr>
          <w:spacing w:val="-3"/>
        </w:rPr>
        <w:t> </w:t>
      </w:r>
      <w:r>
        <w:rPr/>
        <w:t>explotaciones</w:t>
      </w:r>
      <w:r>
        <w:rPr>
          <w:spacing w:val="-3"/>
        </w:rPr>
        <w:t> </w:t>
      </w:r>
      <w:r>
        <w:rPr/>
        <w:t>económicas</w:t>
      </w:r>
      <w:r>
        <w:rPr>
          <w:spacing w:val="-3"/>
        </w:rPr>
        <w:t> </w:t>
      </w:r>
      <w:r>
        <w:rPr/>
        <w:t>exentas;</w:t>
      </w:r>
      <w:r>
        <w:rPr>
          <w:spacing w:val="-3"/>
        </w:rPr>
        <w:t> </w:t>
      </w:r>
      <w:r>
        <w:rPr/>
        <w:t>y,</w:t>
      </w:r>
      <w:r>
        <w:rPr>
          <w:spacing w:val="-3"/>
        </w:rPr>
        <w:t> </w:t>
      </w:r>
      <w:r>
        <w:rPr/>
        <w:t>finalmente,</w:t>
      </w:r>
      <w:r>
        <w:rPr>
          <w:spacing w:val="-3"/>
        </w:rPr>
        <w:t> </w:t>
      </w:r>
      <w:r>
        <w:rPr/>
        <w:t>las</w:t>
      </w:r>
      <w:r>
        <w:rPr>
          <w:spacing w:val="-3"/>
        </w:rPr>
        <w:t> </w:t>
      </w:r>
      <w:r>
        <w:rPr/>
        <w:t>que</w:t>
      </w:r>
      <w:r>
        <w:rPr>
          <w:spacing w:val="-3"/>
        </w:rPr>
        <w:t> </w:t>
      </w:r>
      <w:r>
        <w:rPr/>
        <w:t>de</w:t>
      </w:r>
      <w:r>
        <w:rPr>
          <w:spacing w:val="-3"/>
        </w:rPr>
        <w:t> </w:t>
      </w:r>
      <w:r>
        <w:rPr/>
        <w:t>acuerdo</w:t>
      </w:r>
      <w:r>
        <w:rPr>
          <w:spacing w:val="-3"/>
        </w:rPr>
        <w:t> </w:t>
      </w:r>
      <w:r>
        <w:rPr/>
        <w:t>con</w:t>
      </w:r>
      <w:r>
        <w:rPr>
          <w:spacing w:val="-3"/>
        </w:rPr>
        <w:t> </w:t>
      </w:r>
      <w:r>
        <w:rPr/>
        <w:t>la</w:t>
      </w:r>
      <w:r>
        <w:rPr>
          <w:spacing w:val="-3"/>
        </w:rPr>
        <w:t> </w:t>
      </w:r>
      <w:r>
        <w:rPr/>
        <w:t>normativa tributaria deban ser atribuidas o imputadas a las entidades sin fines lucrativos.</w:t>
      </w:r>
    </w:p>
    <w:p>
      <w:pPr>
        <w:pStyle w:val="BodyText"/>
        <w:spacing w:line="249" w:lineRule="auto" w:before="5"/>
        <w:ind w:right="1102"/>
      </w:pPr>
      <w:r>
        <w:rPr/>
        <w:t>En relación con las rentas derivadas del ejercicio de explotaciones económicas, la Ley sustituye el anterior sistema de exención rogada por una lista cerrada de explotaciones económicas, de tal manera que las rentas derivadas de las explotaciones económicas incluidas en la lista estarán exentas «ex lege». La exención se extiende a las rentas obtenidas de las explotaciones complementarias y auxiliares de las dirigidas a cumplir los fines que persiguen estas entidades, siempre que respeten los límites establecidos en la propia norma, así como a las derivadas de las explotaciones económicas consideradas de escasa relevancia.</w:t>
      </w:r>
    </w:p>
    <w:p>
      <w:pPr>
        <w:pStyle w:val="BodyText"/>
        <w:spacing w:line="249" w:lineRule="auto" w:before="6"/>
        <w:ind w:right="1103"/>
      </w:pPr>
      <w:r>
        <w:rPr/>
        <w:t>En cuanto a la base imponible del Impuesto sobre Sociedades de estas entidades, se establece que en su determinación únicamente serán computables los ingresos y los gastos correspondientes a las explotaciones económicas no exentas. Adicionalmente, se regulan</w:t>
      </w:r>
      <w:r>
        <w:rPr>
          <w:spacing w:val="80"/>
        </w:rPr>
        <w:t> </w:t>
      </w:r>
      <w:r>
        <w:rPr/>
        <w:t>los efectos de la transmisión del patrimonio resultante de la disolución de entidades sin fines lucrativos a otras entidades, disponiéndose la conservación de los valores y la antigüedad que tenían en la entidad transmitente los bienes y derechos transmitidos.</w:t>
      </w:r>
    </w:p>
    <w:p>
      <w:pPr>
        <w:pStyle w:val="BodyText"/>
        <w:spacing w:line="249" w:lineRule="auto" w:before="5"/>
        <w:ind w:right="1104"/>
      </w:pPr>
      <w:r>
        <w:rPr/>
        <w:t>La base imponible del Impuesto sobre Sociedades será gravada a un tipo único del 10 por 100. La determinación de las rentas exentas que quedan sujetas a retención e ingreso a cuenta se remite a un ulterior desarrollo reglamentario.</w:t>
      </w:r>
    </w:p>
    <w:p>
      <w:pPr>
        <w:pStyle w:val="BodyText"/>
        <w:spacing w:line="249" w:lineRule="auto" w:before="3"/>
        <w:ind w:right="1103"/>
      </w:pPr>
      <w:r>
        <w:rPr/>
        <w:t>Por lo que respecta a la fiscalidad de las entidades sin fines lucrativos en materia de tributos locales, el legislador ha decidido mantener las exenciones previstas en la Ley 30/1994, ampliando su ámbito. De este modo, estarán exentos del Impuesto sobre Bienes Inmuebles todos aquellos bienes sujetos a este impuesto de los que sean titulares las entidades sin fines lucrativos, con la excepción de los afectados a explotaciones económicas no exentas del Impuesto sobre Sociedades.</w:t>
      </w:r>
    </w:p>
    <w:p>
      <w:pPr>
        <w:pStyle w:val="BodyText"/>
        <w:spacing w:line="249" w:lineRule="auto" w:before="5"/>
        <w:ind w:right="1104"/>
      </w:pPr>
      <w:r>
        <w:rPr/>
        <w:t>Asimismo, estarán exentas del Impuesto sobre Actividades Económicas las</w:t>
      </w:r>
      <w:r>
        <w:rPr>
          <w:spacing w:val="40"/>
        </w:rPr>
        <w:t> </w:t>
      </w:r>
      <w:r>
        <w:rPr/>
        <w:t>explotaciones económicas que desarrollen estas entidades cuando hayan sido calificadas como exentas por la propia Ley.</w:t>
      </w:r>
    </w:p>
    <w:p>
      <w:pPr>
        <w:pStyle w:val="BodyText"/>
        <w:spacing w:line="249" w:lineRule="auto"/>
        <w:ind w:right="1104"/>
      </w:pPr>
      <w:r>
        <w:rPr/>
        <w:t>Como novedad, y en consonancia con la finalidad de favorecer la actividad que desarrollan estas entidades en beneficio del interés general, se introduce la exención en el Impuesto sobre el Incremento de Valor de los Terrenos de Naturaleza Urbana cuando la obligación legal de satisfacer el impuesto recaiga sobre una entidad sin fines lucrativos, así como en las donaciones realizadas en favor de las entidades beneficiarias del mecenazgo.</w:t>
      </w:r>
    </w:p>
    <w:p>
      <w:pPr>
        <w:pStyle w:val="BodyText"/>
        <w:spacing w:line="249" w:lineRule="auto" w:before="4"/>
        <w:ind w:right="1105"/>
      </w:pPr>
      <w:r>
        <w:rPr/>
        <w:t>En</w:t>
      </w:r>
      <w:r>
        <w:rPr>
          <w:spacing w:val="-1"/>
        </w:rPr>
        <w:t> </w:t>
      </w:r>
      <w:r>
        <w:rPr/>
        <w:t>cuanto</w:t>
      </w:r>
      <w:r>
        <w:rPr>
          <w:spacing w:val="-1"/>
        </w:rPr>
        <w:t> </w:t>
      </w:r>
      <w:r>
        <w:rPr/>
        <w:t>a</w:t>
      </w:r>
      <w:r>
        <w:rPr>
          <w:spacing w:val="-1"/>
        </w:rPr>
        <w:t> </w:t>
      </w:r>
      <w:r>
        <w:rPr/>
        <w:t>la</w:t>
      </w:r>
      <w:r>
        <w:rPr>
          <w:spacing w:val="-1"/>
        </w:rPr>
        <w:t> </w:t>
      </w:r>
      <w:r>
        <w:rPr/>
        <w:t>aplicación</w:t>
      </w:r>
      <w:r>
        <w:rPr>
          <w:spacing w:val="-1"/>
        </w:rPr>
        <w:t> </w:t>
      </w:r>
      <w:r>
        <w:rPr/>
        <w:t>del</w:t>
      </w:r>
      <w:r>
        <w:rPr>
          <w:spacing w:val="-1"/>
        </w:rPr>
        <w:t> </w:t>
      </w:r>
      <w:r>
        <w:rPr/>
        <w:t>régimen</w:t>
      </w:r>
      <w:r>
        <w:rPr>
          <w:spacing w:val="-1"/>
        </w:rPr>
        <w:t> </w:t>
      </w:r>
      <w:r>
        <w:rPr/>
        <w:t>fiscal</w:t>
      </w:r>
      <w:r>
        <w:rPr>
          <w:spacing w:val="-1"/>
        </w:rPr>
        <w:t> </w:t>
      </w:r>
      <w:r>
        <w:rPr/>
        <w:t>especial</w:t>
      </w:r>
      <w:r>
        <w:rPr>
          <w:spacing w:val="-1"/>
        </w:rPr>
        <w:t> </w:t>
      </w:r>
      <w:r>
        <w:rPr/>
        <w:t>merece</w:t>
      </w:r>
      <w:r>
        <w:rPr>
          <w:spacing w:val="-1"/>
        </w:rPr>
        <w:t> </w:t>
      </w:r>
      <w:r>
        <w:rPr/>
        <w:t>destacarse</w:t>
      </w:r>
      <w:r>
        <w:rPr>
          <w:spacing w:val="-1"/>
        </w:rPr>
        <w:t> </w:t>
      </w:r>
      <w:r>
        <w:rPr/>
        <w:t>la</w:t>
      </w:r>
      <w:r>
        <w:rPr>
          <w:spacing w:val="-1"/>
        </w:rPr>
        <w:t> </w:t>
      </w:r>
      <w:r>
        <w:rPr/>
        <w:t>sustitución</w:t>
      </w:r>
      <w:r>
        <w:rPr>
          <w:spacing w:val="-1"/>
        </w:rPr>
        <w:t> </w:t>
      </w:r>
      <w:r>
        <w:rPr/>
        <w:t>del régimen de discrecionalidad administrativa por el de opción por el régimen por la propia entidad y comunicación a la Administración tributaria, afectando esta opción también al Impuesto sobre Transmisiones Patrimoniales y Actos Jurídicos Documentados.</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before="1"/>
        <w:ind w:left="1863" w:right="2713" w:firstLine="0"/>
        <w:jc w:val="center"/>
      </w:pPr>
      <w:r>
        <w:rPr>
          <w:spacing w:val="-5"/>
        </w:rPr>
        <w:t>III</w:t>
      </w:r>
    </w:p>
    <w:p>
      <w:pPr>
        <w:pStyle w:val="BodyText"/>
        <w:spacing w:line="249" w:lineRule="auto" w:before="123"/>
        <w:ind w:right="1104"/>
      </w:pPr>
      <w:r>
        <w:rPr/>
        <w:t>El Título III, dedicado a la regulación de los incentivos fiscales al mecenazgo, comienza estableciendo, mediante una enumeración cerrada, las entidades que pueden ser beneficiarias de esta colaboración.</w:t>
      </w:r>
    </w:p>
    <w:p>
      <w:pPr>
        <w:pStyle w:val="BodyText"/>
        <w:spacing w:line="249" w:lineRule="auto" w:before="3"/>
        <w:ind w:right="1103"/>
      </w:pPr>
      <w:r>
        <w:rPr/>
        <w:t>A continuación se concretan los incentivos fiscales aplicables a donativos, donaciones y aportaciones realizadas en favor de las entidades beneficiarias. A este respecto, interesa destacar la novedad que supone la concesión de incentivos fiscales a la donación de derechos y a la constitución, sin contraprestación, de derechos reales de usufructo sobre bienes, derechos y valores. En cualquier caso, y como es lógico teniendo en cuenta la finalidad de estos incentivos, las ganancias patrimoniales y rentas positivas que se pongan de manifiesto con ocasión de estas donaciones o aportaciones estarán exentas en el impuesto personal del donante.</w:t>
      </w:r>
    </w:p>
    <w:p>
      <w:pPr>
        <w:pStyle w:val="BodyText"/>
        <w:spacing w:line="249" w:lineRule="auto" w:before="6"/>
        <w:ind w:right="1103"/>
      </w:pPr>
      <w:r>
        <w:rPr/>
        <w:t>De este modo, los donativos, donaciones o aportaciones realizadas en favor de las entidades beneficiarias de la actividad de mecenazgo darán derecho a practicar una deducción en la cuota del impuesto personal sobre la renta del donante o aportante. Esta deducción será del 25 por 100 del importe de los donativos, donaciones y aportaciones realizadas en el Impuesto sobre la Renta de las Personas Físicas y en el Impuesto sobre la Renta de no Residentes para los contribuyentes sin establecimiento permanente en España, y del 35 por 100 en el Impuesto sobre Sociedades y en el Impuesto sobre la Renta de no Residentes para los contribuyentes con establecimiento permanente en España. Para garantizar la aplicación de este incentivo fiscal por las personas jurídicas y entidades no residentes que operen en España mediante establecimiento permanente, se permite que las deducciones no practicadas puedan aplicarse en los períodos impositivos que finalicen en</w:t>
      </w:r>
      <w:r>
        <w:rPr>
          <w:spacing w:val="40"/>
        </w:rPr>
        <w:t> </w:t>
      </w:r>
      <w:r>
        <w:rPr/>
        <w:t>los 10 años inmediatos y sucesivos. Los porcentajes de deducción y los límites pueden incrementarse en un máximo de cinco puntos porcentuales si la actividad de mecenazgo desarrollada por las entidades beneficiarias se encuentra comprendida en la relación de actividades prioritarias de mecenazgo que establezca la Ley de Presupuestos Generales del </w:t>
      </w:r>
      <w:r>
        <w:rPr>
          <w:spacing w:val="-2"/>
        </w:rPr>
        <w:t>Estado.</w:t>
      </w:r>
    </w:p>
    <w:p>
      <w:pPr>
        <w:pStyle w:val="BodyText"/>
        <w:spacing w:line="249" w:lineRule="auto" w:before="13"/>
        <w:ind w:right="1103"/>
      </w:pPr>
      <w:r>
        <w:rPr/>
        <w:t>El Título III, por último, regula los beneficios fiscales aplicables a otras actuaciones de mecenazgo distintas de la realización de donativos, donaciones y aportaciones. A este respecto interesa destacar las siguientes novedades:</w:t>
      </w:r>
    </w:p>
    <w:p>
      <w:pPr>
        <w:pStyle w:val="BodyText"/>
        <w:spacing w:line="249" w:lineRule="auto" w:before="123"/>
        <w:ind w:right="1103"/>
      </w:pPr>
      <w:r>
        <w:rPr/>
        <w:t>Los gastos derivados de convenios de colaboración empresarial en actividades de</w:t>
      </w:r>
      <w:r>
        <w:rPr>
          <w:spacing w:val="40"/>
        </w:rPr>
        <w:t> </w:t>
      </w:r>
      <w:r>
        <w:rPr/>
        <w:t>interés general celebrados con las entidades calificadas como beneficiarias del mecenazgo por esta Ley tendrán la consideración de gasto deducible a efectos de la determinación de la base imponible de los Impuestos sobre Sociedades y sobre la Renta de no Residentes, y del rendimiento neto de las actividades económicas en régimen de estimación directa del Impuesto sobre la Renta de las Personas Físicas, suprimiendo en esta materia los límites que fijaba la Ley 30/1994.</w:t>
      </w:r>
    </w:p>
    <w:p>
      <w:pPr>
        <w:pStyle w:val="BodyText"/>
        <w:spacing w:line="249" w:lineRule="auto" w:before="5"/>
        <w:ind w:right="1105"/>
      </w:pPr>
      <w:r>
        <w:rPr/>
        <w:t>La supresión de los límites para la deducibilidad de los gastos en actividades de interés general en que incurran las empresas.</w:t>
      </w:r>
    </w:p>
    <w:p>
      <w:pPr>
        <w:pStyle w:val="BodyText"/>
        <w:spacing w:line="249" w:lineRule="auto"/>
        <w:ind w:right="1104"/>
      </w:pPr>
      <w:r>
        <w:rPr/>
        <w:t>La creación del marco jurídico al que deberán ajustarse los programas de apoyo a acontecimientos de excepcional interés público que pueda establecer por Ley, fijando su contenido máximo, duración y reglas básicas.</w:t>
      </w:r>
    </w:p>
    <w:p>
      <w:pPr>
        <w:pStyle w:val="BodyText"/>
        <w:spacing w:before="56"/>
        <w:ind w:left="0" w:firstLine="0"/>
        <w:jc w:val="left"/>
      </w:pPr>
    </w:p>
    <w:p>
      <w:pPr>
        <w:pStyle w:val="BodyText"/>
        <w:spacing w:before="0"/>
        <w:ind w:left="1863" w:right="2712" w:firstLine="0"/>
        <w:jc w:val="center"/>
      </w:pPr>
      <w:r>
        <w:rPr>
          <w:spacing w:val="-5"/>
        </w:rPr>
        <w:t>IV</w:t>
      </w:r>
    </w:p>
    <w:p>
      <w:pPr>
        <w:pStyle w:val="BodyText"/>
        <w:spacing w:line="249" w:lineRule="auto" w:before="123"/>
        <w:ind w:right="1103"/>
      </w:pPr>
      <w:r>
        <w:rPr/>
        <w:t>Las disposiciones adicionales complementan la Ley recogiendo diversas previsiones entre las que se encuentra, en primer lugar, una nueva regla especial de imputación de rentas</w:t>
      </w:r>
      <w:r>
        <w:rPr>
          <w:spacing w:val="-2"/>
        </w:rPr>
        <w:t> </w:t>
      </w:r>
      <w:r>
        <w:rPr/>
        <w:t>en</w:t>
      </w:r>
      <w:r>
        <w:rPr>
          <w:spacing w:val="-2"/>
        </w:rPr>
        <w:t> </w:t>
      </w:r>
      <w:r>
        <w:rPr/>
        <w:t>el</w:t>
      </w:r>
      <w:r>
        <w:rPr>
          <w:spacing w:val="-2"/>
        </w:rPr>
        <w:t> </w:t>
      </w:r>
      <w:r>
        <w:rPr/>
        <w:t>Impuesto</w:t>
      </w:r>
      <w:r>
        <w:rPr>
          <w:spacing w:val="-2"/>
        </w:rPr>
        <w:t> </w:t>
      </w:r>
      <w:r>
        <w:rPr/>
        <w:t>sobre</w:t>
      </w:r>
      <w:r>
        <w:rPr>
          <w:spacing w:val="-2"/>
        </w:rPr>
        <w:t> </w:t>
      </w:r>
      <w:r>
        <w:rPr/>
        <w:t>la</w:t>
      </w:r>
      <w:r>
        <w:rPr>
          <w:spacing w:val="-2"/>
        </w:rPr>
        <w:t> </w:t>
      </w:r>
      <w:r>
        <w:rPr/>
        <w:t>Renta</w:t>
      </w:r>
      <w:r>
        <w:rPr>
          <w:spacing w:val="-2"/>
        </w:rPr>
        <w:t> </w:t>
      </w:r>
      <w:r>
        <w:rPr/>
        <w:t>de</w:t>
      </w:r>
      <w:r>
        <w:rPr>
          <w:spacing w:val="-2"/>
        </w:rPr>
        <w:t> </w:t>
      </w:r>
      <w:r>
        <w:rPr/>
        <w:t>las</w:t>
      </w:r>
      <w:r>
        <w:rPr>
          <w:spacing w:val="-2"/>
        </w:rPr>
        <w:t> </w:t>
      </w:r>
      <w:r>
        <w:rPr/>
        <w:t>Personas</w:t>
      </w:r>
      <w:r>
        <w:rPr>
          <w:spacing w:val="-2"/>
        </w:rPr>
        <w:t> </w:t>
      </w:r>
      <w:r>
        <w:rPr/>
        <w:t>Físicas</w:t>
      </w:r>
      <w:r>
        <w:rPr>
          <w:spacing w:val="-2"/>
        </w:rPr>
        <w:t> </w:t>
      </w:r>
      <w:r>
        <w:rPr/>
        <w:t>aplicable</w:t>
      </w:r>
      <w:r>
        <w:rPr>
          <w:spacing w:val="-2"/>
        </w:rPr>
        <w:t> </w:t>
      </w:r>
      <w:r>
        <w:rPr/>
        <w:t>a</w:t>
      </w:r>
      <w:r>
        <w:rPr>
          <w:spacing w:val="-2"/>
        </w:rPr>
        <w:t> </w:t>
      </w:r>
      <w:r>
        <w:rPr/>
        <w:t>las</w:t>
      </w:r>
      <w:r>
        <w:rPr>
          <w:spacing w:val="-2"/>
        </w:rPr>
        <w:t> </w:t>
      </w:r>
      <w:r>
        <w:rPr/>
        <w:t>ayudas</w:t>
      </w:r>
      <w:r>
        <w:rPr>
          <w:spacing w:val="-2"/>
        </w:rPr>
        <w:t> </w:t>
      </w:r>
      <w:r>
        <w:rPr/>
        <w:t>públicas destinadas a la conservación y rehabilitación de bienes de interés cultural; una novedosa regulación de las deducciones por gastos e inversiones en bienes del Patrimonio Histórico Español contenidas en la Ley del Impuesto sobre la Renta de las Personas Físicas y en la Ley del Impuesto sobre Sociedades, extendiéndose el derecho a practicar la deducción a las cantidades invertidas en entornos protegidos de ciudades españolas o en conjuntos declarados Patrimonio Mundial por la Unesco, que se relacionan en un anexo de la propia </w:t>
      </w:r>
      <w:r>
        <w:rPr>
          <w:spacing w:val="-4"/>
        </w:rPr>
        <w:t>Ley.</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right="1103"/>
      </w:pPr>
      <w:r>
        <w:rPr/>
        <w:t>A continuación, se recogen las modificaciones que se introducen en el régimen de las entidades parcialmente exentas del Impuesto sobre Sociedades, con la finalidad de establecer la necesaria coherencia entre las previsiones en él contenidas y los preceptos de esta Ley, y en el régimen de exenciones previsto en el texto refundido del Impuesto sobre Transmisiones Patrimoniales y Actos Jurídicos Documentados, al objeto de hacer introducir también en este impuesto el automatismo en la aplicación de las exenciones que puedan corresponder a las entidades sin fines lucrativos por el ejercicio de la opción por el régimen fiscal especial y su comunicación a la Administración tributaria. De igual modo, se regula el régimen fiscal de los bienes integrantes del Patrimonio Histórico de las Comunidades Autónomas, así como el aplicable a la Cruz Roja Española, a la Organización Nacional de Ciegos Españoles, a la Obra Pía de los Santos Lugares, al Consorcio de la Casa de</w:t>
      </w:r>
      <w:r>
        <w:rPr>
          <w:spacing w:val="40"/>
        </w:rPr>
        <w:t> </w:t>
      </w:r>
      <w:r>
        <w:rPr/>
        <w:t>América, a las fundaciones de entidades religiosas, a la Iglesia Católica y a las demás iglesias, confesiones o comunidades religiosas que tengan suscritos acuerdos de cooperación con el Estado español, y al Instituto de España y a las Reales Academias integradas en el mismo, así como a las instituciones de las Comunidades Autónomas con lengua oficial propia que tengan fines análogos a los de la Real Academia Española.</w:t>
      </w:r>
    </w:p>
    <w:p>
      <w:pPr>
        <w:pStyle w:val="BodyText"/>
        <w:spacing w:line="249" w:lineRule="auto" w:before="13"/>
        <w:ind w:right="1104"/>
      </w:pPr>
      <w:r>
        <w:rPr/>
        <w:t>Asimismo, la Ley recoge la posibilidad de que las entidades sin fines lucrativos puedan destinar su patrimonio en caso de disolución a la obra social de las cajas de ahorro, no siendo de aplicación en este supuesto el número 6.º del artículo 3.</w:t>
      </w:r>
    </w:p>
    <w:p>
      <w:pPr>
        <w:pStyle w:val="BodyText"/>
        <w:spacing w:line="249" w:lineRule="auto"/>
        <w:ind w:right="1105"/>
      </w:pPr>
      <w:r>
        <w:rPr/>
        <w:t>Del mismo modo, la Ley establece una excepción al requisito previsto en el número 3.º</w:t>
      </w:r>
      <w:r>
        <w:rPr>
          <w:spacing w:val="40"/>
        </w:rPr>
        <w:t> </w:t>
      </w:r>
      <w:r>
        <w:rPr/>
        <w:t>de su artículo 3 en relación con los ingresos obtenidos en espectáculos deportivos por las federaciones deportivas, el Comité Olímpico Español y el Comité Paralímpico Español.</w:t>
      </w:r>
    </w:p>
    <w:p>
      <w:pPr>
        <w:pStyle w:val="BodyText"/>
        <w:spacing w:line="249" w:lineRule="auto" w:before="3"/>
        <w:ind w:right="1103"/>
      </w:pPr>
      <w:r>
        <w:rPr/>
        <w:t>Por otro lado, la Ley regula el régimen tributario de las entidades benéficas de construcción constituidas al amparo del artículo 5 de la Ley de 15 de julio de 1954, de manera que estas entidades podrán optar por el régimen fiscal especial previsto en la presente Ley, siempre que cumplan los requisitos establecidos en su propia normativa reguladora, se encuentren debidamente inscritas en el registro correspondiente de la Administración central o autonómica, y cumplan el requisito establecido en el número 5.º del artículo 3 de esta Ley.</w:t>
      </w:r>
    </w:p>
    <w:p>
      <w:pPr>
        <w:pStyle w:val="BodyText"/>
        <w:spacing w:line="249" w:lineRule="auto" w:before="5"/>
        <w:ind w:right="1103"/>
      </w:pPr>
      <w:r>
        <w:rPr/>
        <w:t>Por último, se regula, en aras de satisfacer las exigencias derivadas del principio de seguridad jurídica, el derecho, durante los primeros seis meses siguientes a su entrada en vigor, a formular consultas a la Administración tributaria sobre su aplicación cuya contestación tendrá carácter vinculante.</w:t>
      </w:r>
    </w:p>
    <w:p>
      <w:pPr>
        <w:pStyle w:val="BodyText"/>
        <w:spacing w:line="249" w:lineRule="auto" w:before="4"/>
        <w:ind w:right="1104"/>
      </w:pPr>
      <w:r>
        <w:rPr/>
        <w:t>En relación con la exención de tributos locales, y al igual que la Ley 30/1994, se dispone la no aplicación de lo previsto en el apartado 2 del artículo 9 de la Ley reguladora de las Haciendas Locales y aclara que las remisiones normativas que en cualquier texto se hagan</w:t>
      </w:r>
      <w:r>
        <w:rPr>
          <w:spacing w:val="40"/>
        </w:rPr>
        <w:t> </w:t>
      </w:r>
      <w:r>
        <w:rPr/>
        <w:t>al Título II de la Ley 30/1994, de 24 de noviembre, de Fundaciones y de Incentivos Fiscales</w:t>
      </w:r>
      <w:r>
        <w:rPr>
          <w:spacing w:val="80"/>
        </w:rPr>
        <w:t> </w:t>
      </w:r>
      <w:r>
        <w:rPr/>
        <w:t>a la Participación Privada en Actividades de Interés General, se entenderán hechas a esta </w:t>
      </w:r>
      <w:r>
        <w:rPr>
          <w:spacing w:val="-4"/>
        </w:rPr>
        <w:t>Ley.</w:t>
      </w:r>
    </w:p>
    <w:p>
      <w:pPr>
        <w:pStyle w:val="BodyText"/>
        <w:spacing w:line="249" w:lineRule="auto" w:before="5"/>
        <w:ind w:right="1103"/>
      </w:pPr>
      <w:r>
        <w:rPr/>
        <w:t>Las disposiciones transitorias de la Ley establecen la vigencia, durante los dos años siguientes a la entrada en vigor de esta Ley, de las exenciones en el Impuesto sobre Sociedades concedidas al amparo de la Ley 30/1994, así como la concesión de un plazo de un año para que las entidades ya existentes puedan cumplir los requisitos en relación con la retribución de los administradores en entidades mercantiles que hayan nombrado, y de dos años para que adapten sus estatutos al requisito relativo a la disolución.</w:t>
      </w:r>
    </w:p>
    <w:p>
      <w:pPr>
        <w:pStyle w:val="BodyText"/>
        <w:spacing w:line="249" w:lineRule="auto" w:before="5"/>
        <w:ind w:right="1104"/>
      </w:pPr>
      <w:r>
        <w:rPr/>
        <w:t>La disposición derogatoria única de la Ley prevé la derogación, desde su entrada en vigor, de todas las disposiciones que se opongan a lo establecido en ella.</w:t>
      </w:r>
    </w:p>
    <w:p>
      <w:pPr>
        <w:pStyle w:val="BodyText"/>
        <w:spacing w:line="249" w:lineRule="auto" w:before="1"/>
        <w:ind w:right="1104"/>
      </w:pPr>
      <w:r>
        <w:rPr/>
        <w:t>Las disposiciones finales establecen una habilitación a la Ley de Presupuestos</w:t>
      </w:r>
      <w:r>
        <w:rPr>
          <w:spacing w:val="40"/>
        </w:rPr>
        <w:t> </w:t>
      </w:r>
      <w:r>
        <w:rPr/>
        <w:t>Generales del Estado para modificar el tipo de gravamen y las deducciones contenidos en esta</w:t>
      </w:r>
      <w:r>
        <w:rPr>
          <w:spacing w:val="-2"/>
        </w:rPr>
        <w:t> </w:t>
      </w:r>
      <w:r>
        <w:rPr/>
        <w:t>Ley,</w:t>
      </w:r>
      <w:r>
        <w:rPr>
          <w:spacing w:val="-2"/>
        </w:rPr>
        <w:t> </w:t>
      </w:r>
      <w:r>
        <w:rPr/>
        <w:t>a</w:t>
      </w:r>
      <w:r>
        <w:rPr>
          <w:spacing w:val="-2"/>
        </w:rPr>
        <w:t> </w:t>
      </w:r>
      <w:r>
        <w:rPr/>
        <w:t>la</w:t>
      </w:r>
      <w:r>
        <w:rPr>
          <w:spacing w:val="-2"/>
        </w:rPr>
        <w:t> </w:t>
      </w:r>
      <w:r>
        <w:rPr/>
        <w:t>vez</w:t>
      </w:r>
      <w:r>
        <w:rPr>
          <w:spacing w:val="-2"/>
        </w:rPr>
        <w:t> </w:t>
      </w:r>
      <w:r>
        <w:rPr/>
        <w:t>que</w:t>
      </w:r>
      <w:r>
        <w:rPr>
          <w:spacing w:val="-2"/>
        </w:rPr>
        <w:t> </w:t>
      </w:r>
      <w:r>
        <w:rPr/>
        <w:t>habilitan</w:t>
      </w:r>
      <w:r>
        <w:rPr>
          <w:spacing w:val="-2"/>
        </w:rPr>
        <w:t> </w:t>
      </w:r>
      <w:r>
        <w:rPr/>
        <w:t>al</w:t>
      </w:r>
      <w:r>
        <w:rPr>
          <w:spacing w:val="-2"/>
        </w:rPr>
        <w:t> </w:t>
      </w:r>
      <w:r>
        <w:rPr/>
        <w:t>Gobierno</w:t>
      </w:r>
      <w:r>
        <w:rPr>
          <w:spacing w:val="-2"/>
        </w:rPr>
        <w:t> </w:t>
      </w:r>
      <w:r>
        <w:rPr/>
        <w:t>para</w:t>
      </w:r>
      <w:r>
        <w:rPr>
          <w:spacing w:val="-2"/>
        </w:rPr>
        <w:t> </w:t>
      </w:r>
      <w:r>
        <w:rPr/>
        <w:t>dictar</w:t>
      </w:r>
      <w:r>
        <w:rPr>
          <w:spacing w:val="-2"/>
        </w:rPr>
        <w:t> </w:t>
      </w:r>
      <w:r>
        <w:rPr/>
        <w:t>el</w:t>
      </w:r>
      <w:r>
        <w:rPr>
          <w:spacing w:val="-2"/>
        </w:rPr>
        <w:t> </w:t>
      </w:r>
      <w:r>
        <w:rPr/>
        <w:t>oportuno</w:t>
      </w:r>
      <w:r>
        <w:rPr>
          <w:spacing w:val="-2"/>
        </w:rPr>
        <w:t> </w:t>
      </w:r>
      <w:r>
        <w:rPr/>
        <w:t>desarrollo</w:t>
      </w:r>
      <w:r>
        <w:rPr>
          <w:spacing w:val="-2"/>
        </w:rPr>
        <w:t> </w:t>
      </w:r>
      <w:r>
        <w:rPr/>
        <w:t>reglamentario</w:t>
      </w:r>
      <w:r>
        <w:rPr>
          <w:spacing w:val="-2"/>
        </w:rPr>
        <w:t> </w:t>
      </w:r>
      <w:r>
        <w:rPr/>
        <w:t>y regulan su entrada en vigor.</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before="1"/>
        <w:ind w:left="1863" w:right="2712" w:firstLine="0"/>
        <w:jc w:val="center"/>
      </w:pPr>
      <w:bookmarkStart w:name="TÍTULO I. Objeto y ámbito de aplicación" w:id="4"/>
      <w:bookmarkEnd w:id="4"/>
      <w:r>
        <w:rPr/>
      </w:r>
      <w:bookmarkStart w:name="_bookmark1" w:id="5"/>
      <w:bookmarkEnd w:id="5"/>
      <w:r>
        <w:rPr/>
      </w:r>
      <w:r>
        <w:rPr/>
        <w:t>TÍTULO </w:t>
      </w:r>
      <w:r>
        <w:rPr>
          <w:spacing w:val="-10"/>
        </w:rPr>
        <w:t>I</w:t>
      </w:r>
    </w:p>
    <w:p>
      <w:pPr>
        <w:pStyle w:val="Heading2"/>
      </w:pPr>
      <w:r>
        <w:rPr/>
        <w:t>Objeto</w:t>
      </w:r>
      <w:r>
        <w:rPr>
          <w:spacing w:val="-1"/>
        </w:rPr>
        <w:t> </w:t>
      </w:r>
      <w:r>
        <w:rPr/>
        <w:t>y ámbito de </w:t>
      </w:r>
      <w:r>
        <w:rPr>
          <w:spacing w:val="-2"/>
        </w:rPr>
        <w:t>aplicación</w:t>
      </w:r>
    </w:p>
    <w:p>
      <w:pPr>
        <w:pStyle w:val="BodyText"/>
        <w:spacing w:before="7"/>
        <w:ind w:left="0" w:firstLine="0"/>
        <w:jc w:val="left"/>
        <w:rPr>
          <w:b/>
        </w:rPr>
      </w:pPr>
    </w:p>
    <w:p>
      <w:pPr>
        <w:spacing w:before="0"/>
        <w:ind w:left="255" w:right="0" w:firstLine="0"/>
        <w:jc w:val="left"/>
        <w:rPr>
          <w:i/>
          <w:sz w:val="20"/>
        </w:rPr>
      </w:pPr>
      <w:bookmarkStart w:name="Artículo 1. Objeto y ámbito de aplicació" w:id="6"/>
      <w:bookmarkEnd w:id="6"/>
      <w:r>
        <w:rPr/>
      </w:r>
      <w:bookmarkStart w:name="_bookmark2" w:id="7"/>
      <w:bookmarkEnd w:id="7"/>
      <w:r>
        <w:rPr/>
      </w:r>
      <w:r>
        <w:rPr>
          <w:b/>
          <w:sz w:val="20"/>
        </w:rPr>
        <w:t>Artículo</w:t>
      </w:r>
      <w:r>
        <w:rPr>
          <w:b/>
          <w:spacing w:val="-2"/>
          <w:sz w:val="20"/>
        </w:rPr>
        <w:t> </w:t>
      </w:r>
      <w:r>
        <w:rPr>
          <w:b/>
          <w:sz w:val="20"/>
        </w:rPr>
        <w:t>1.</w:t>
      </w:r>
      <w:r>
        <w:rPr>
          <w:b/>
          <w:spacing w:val="51"/>
          <w:sz w:val="20"/>
        </w:rPr>
        <w:t> </w:t>
      </w:r>
      <w:r>
        <w:rPr>
          <w:i/>
          <w:sz w:val="20"/>
        </w:rPr>
        <w:t>Objeto</w:t>
      </w:r>
      <w:r>
        <w:rPr>
          <w:i/>
          <w:spacing w:val="-2"/>
          <w:sz w:val="20"/>
        </w:rPr>
        <w:t> </w:t>
      </w:r>
      <w:r>
        <w:rPr>
          <w:i/>
          <w:sz w:val="20"/>
        </w:rPr>
        <w:t>y</w:t>
      </w:r>
      <w:r>
        <w:rPr>
          <w:i/>
          <w:spacing w:val="-1"/>
          <w:sz w:val="20"/>
        </w:rPr>
        <w:t> </w:t>
      </w:r>
      <w:r>
        <w:rPr>
          <w:i/>
          <w:sz w:val="20"/>
        </w:rPr>
        <w:t>ámbito</w:t>
      </w:r>
      <w:r>
        <w:rPr>
          <w:i/>
          <w:spacing w:val="-2"/>
          <w:sz w:val="20"/>
        </w:rPr>
        <w:t> </w:t>
      </w:r>
      <w:r>
        <w:rPr>
          <w:i/>
          <w:sz w:val="20"/>
        </w:rPr>
        <w:t>de</w:t>
      </w:r>
      <w:r>
        <w:rPr>
          <w:i/>
          <w:spacing w:val="-1"/>
          <w:sz w:val="20"/>
        </w:rPr>
        <w:t> </w:t>
      </w:r>
      <w:r>
        <w:rPr>
          <w:i/>
          <w:spacing w:val="-2"/>
          <w:sz w:val="20"/>
        </w:rPr>
        <w:t>aplicación.</w:t>
      </w:r>
    </w:p>
    <w:p>
      <w:pPr>
        <w:pStyle w:val="ListParagraph"/>
        <w:numPr>
          <w:ilvl w:val="0"/>
          <w:numId w:val="1"/>
        </w:numPr>
        <w:tabs>
          <w:tab w:pos="825" w:val="left" w:leader="none"/>
        </w:tabs>
        <w:spacing w:line="249" w:lineRule="auto" w:before="123" w:after="0"/>
        <w:ind w:left="255" w:right="1103" w:firstLine="340"/>
        <w:jc w:val="both"/>
        <w:rPr>
          <w:sz w:val="20"/>
        </w:rPr>
      </w:pPr>
      <w:r>
        <w:rPr>
          <w:sz w:val="20"/>
        </w:rPr>
        <w:t>Esta Ley tiene por objeto regular el régimen fiscal de las entidades sin fines lucrativos definidas en la misma, en consideración a su función social, actividades y características.</w:t>
      </w:r>
    </w:p>
    <w:p>
      <w:pPr>
        <w:pStyle w:val="BodyText"/>
        <w:spacing w:line="249" w:lineRule="auto"/>
        <w:ind w:right="1103"/>
      </w:pPr>
      <w:r>
        <w:rPr/>
        <w:t>De igual modo, tiene por objeto regular los incentivos fiscales al mecenazgo. A efectos</w:t>
      </w:r>
      <w:r>
        <w:rPr>
          <w:spacing w:val="40"/>
        </w:rPr>
        <w:t> </w:t>
      </w:r>
      <w:r>
        <w:rPr/>
        <w:t>de esta Ley, se entiende por mecenazgo la participación privada en la realización de actividades de interés general.</w:t>
      </w:r>
    </w:p>
    <w:p>
      <w:pPr>
        <w:pStyle w:val="ListParagraph"/>
        <w:numPr>
          <w:ilvl w:val="0"/>
          <w:numId w:val="1"/>
        </w:numPr>
        <w:tabs>
          <w:tab w:pos="817" w:val="left" w:leader="none"/>
        </w:tabs>
        <w:spacing w:line="240" w:lineRule="auto" w:before="2" w:after="0"/>
        <w:ind w:left="817" w:right="0" w:hanging="222"/>
        <w:jc w:val="both"/>
        <w:rPr>
          <w:sz w:val="20"/>
        </w:rPr>
      </w:pPr>
      <w:r>
        <w:rPr>
          <w:sz w:val="20"/>
        </w:rPr>
        <w:t>En</w:t>
      </w:r>
      <w:r>
        <w:rPr>
          <w:spacing w:val="-2"/>
          <w:sz w:val="20"/>
        </w:rPr>
        <w:t> </w:t>
      </w:r>
      <w:r>
        <w:rPr>
          <w:sz w:val="20"/>
        </w:rPr>
        <w:t>lo</w:t>
      </w:r>
      <w:r>
        <w:rPr>
          <w:spacing w:val="-2"/>
          <w:sz w:val="20"/>
        </w:rPr>
        <w:t> </w:t>
      </w:r>
      <w:r>
        <w:rPr>
          <w:sz w:val="20"/>
        </w:rPr>
        <w:t>no</w:t>
      </w:r>
      <w:r>
        <w:rPr>
          <w:spacing w:val="-2"/>
          <w:sz w:val="20"/>
        </w:rPr>
        <w:t> </w:t>
      </w:r>
      <w:r>
        <w:rPr>
          <w:sz w:val="20"/>
        </w:rPr>
        <w:t>previsto</w:t>
      </w:r>
      <w:r>
        <w:rPr>
          <w:spacing w:val="-2"/>
          <w:sz w:val="20"/>
        </w:rPr>
        <w:t> </w:t>
      </w:r>
      <w:r>
        <w:rPr>
          <w:sz w:val="20"/>
        </w:rPr>
        <w:t>en</w:t>
      </w:r>
      <w:r>
        <w:rPr>
          <w:spacing w:val="-2"/>
          <w:sz w:val="20"/>
        </w:rPr>
        <w:t> </w:t>
      </w:r>
      <w:r>
        <w:rPr>
          <w:sz w:val="20"/>
        </w:rPr>
        <w:t>esta</w:t>
      </w:r>
      <w:r>
        <w:rPr>
          <w:spacing w:val="-2"/>
          <w:sz w:val="20"/>
        </w:rPr>
        <w:t> </w:t>
      </w:r>
      <w:r>
        <w:rPr>
          <w:sz w:val="20"/>
        </w:rPr>
        <w:t>Ley</w:t>
      </w:r>
      <w:r>
        <w:rPr>
          <w:spacing w:val="-2"/>
          <w:sz w:val="20"/>
        </w:rPr>
        <w:t> </w:t>
      </w:r>
      <w:r>
        <w:rPr>
          <w:sz w:val="20"/>
        </w:rPr>
        <w:t>se</w:t>
      </w:r>
      <w:r>
        <w:rPr>
          <w:spacing w:val="-2"/>
          <w:sz w:val="20"/>
        </w:rPr>
        <w:t> </w:t>
      </w:r>
      <w:r>
        <w:rPr>
          <w:sz w:val="20"/>
        </w:rPr>
        <w:t>aplicarán</w:t>
      </w:r>
      <w:r>
        <w:rPr>
          <w:spacing w:val="-2"/>
          <w:sz w:val="20"/>
        </w:rPr>
        <w:t> </w:t>
      </w:r>
      <w:r>
        <w:rPr>
          <w:sz w:val="20"/>
        </w:rPr>
        <w:t>las</w:t>
      </w:r>
      <w:r>
        <w:rPr>
          <w:spacing w:val="-2"/>
          <w:sz w:val="20"/>
        </w:rPr>
        <w:t> </w:t>
      </w:r>
      <w:r>
        <w:rPr>
          <w:sz w:val="20"/>
        </w:rPr>
        <w:t>normas</w:t>
      </w:r>
      <w:r>
        <w:rPr>
          <w:spacing w:val="-2"/>
          <w:sz w:val="20"/>
        </w:rPr>
        <w:t> </w:t>
      </w:r>
      <w:r>
        <w:rPr>
          <w:sz w:val="20"/>
        </w:rPr>
        <w:t>tributarias</w:t>
      </w:r>
      <w:r>
        <w:rPr>
          <w:spacing w:val="-1"/>
          <w:sz w:val="20"/>
        </w:rPr>
        <w:t> </w:t>
      </w:r>
      <w:r>
        <w:rPr>
          <w:spacing w:val="-2"/>
          <w:sz w:val="20"/>
        </w:rPr>
        <w:t>generales.</w:t>
      </w:r>
    </w:p>
    <w:p>
      <w:pPr>
        <w:pStyle w:val="ListParagraph"/>
        <w:numPr>
          <w:ilvl w:val="0"/>
          <w:numId w:val="1"/>
        </w:numPr>
        <w:tabs>
          <w:tab w:pos="853" w:val="left" w:leader="none"/>
        </w:tabs>
        <w:spacing w:line="249" w:lineRule="auto" w:before="10" w:after="0"/>
        <w:ind w:left="255" w:right="1104" w:firstLine="340"/>
        <w:jc w:val="both"/>
        <w:rPr>
          <w:sz w:val="20"/>
        </w:rPr>
      </w:pPr>
      <w:r>
        <w:rPr>
          <w:sz w:val="20"/>
        </w:rPr>
        <w:t>Lo establecido en esta Ley se entenderá sin perjuicio de los regímenes tributarios forales de Concierto y Convenio Económico en vigor, respectivamente, en los Territorios Históricos del País Vasco y en la Comunidad Foral de Navarra y sin perjuicio de lo dispuesto en los tratados y convenios internacionales que hayan pasado a formar parte del ordenamiento interno, de conformidad con el artículo 96 de la Constitución Española.</w:t>
      </w:r>
    </w:p>
    <w:p>
      <w:pPr>
        <w:pStyle w:val="BodyText"/>
        <w:spacing w:before="228"/>
        <w:ind w:left="0" w:firstLine="0"/>
        <w:jc w:val="left"/>
      </w:pPr>
    </w:p>
    <w:p>
      <w:pPr>
        <w:pStyle w:val="BodyText"/>
        <w:spacing w:before="0"/>
        <w:ind w:left="1863" w:right="2712" w:firstLine="0"/>
        <w:jc w:val="center"/>
      </w:pPr>
      <w:bookmarkStart w:name="TÍTULO II. Régimen fiscal especial de la" w:id="8"/>
      <w:bookmarkEnd w:id="8"/>
      <w:r>
        <w:rPr/>
      </w:r>
      <w:bookmarkStart w:name="_bookmark3" w:id="9"/>
      <w:bookmarkEnd w:id="9"/>
      <w:r>
        <w:rPr/>
      </w:r>
      <w:r>
        <w:rPr/>
        <w:t>TÍTULO </w:t>
      </w:r>
      <w:r>
        <w:rPr>
          <w:spacing w:val="-5"/>
        </w:rPr>
        <w:t>II</w:t>
      </w:r>
    </w:p>
    <w:p>
      <w:pPr>
        <w:pStyle w:val="Heading2"/>
        <w:ind w:left="1" w:right="849"/>
      </w:pPr>
      <w:r>
        <w:rPr/>
        <w:t>Régimen</w:t>
      </w:r>
      <w:r>
        <w:rPr>
          <w:spacing w:val="-2"/>
        </w:rPr>
        <w:t> </w:t>
      </w:r>
      <w:r>
        <w:rPr/>
        <w:t>fiscal</w:t>
      </w:r>
      <w:r>
        <w:rPr>
          <w:spacing w:val="-2"/>
        </w:rPr>
        <w:t> </w:t>
      </w:r>
      <w:r>
        <w:rPr/>
        <w:t>especial</w:t>
      </w:r>
      <w:r>
        <w:rPr>
          <w:spacing w:val="-2"/>
        </w:rPr>
        <w:t> </w:t>
      </w:r>
      <w:r>
        <w:rPr/>
        <w:t>de</w:t>
      </w:r>
      <w:r>
        <w:rPr>
          <w:spacing w:val="-2"/>
        </w:rPr>
        <w:t> </w:t>
      </w:r>
      <w:r>
        <w:rPr/>
        <w:t>las</w:t>
      </w:r>
      <w:r>
        <w:rPr>
          <w:spacing w:val="-2"/>
        </w:rPr>
        <w:t> </w:t>
      </w:r>
      <w:r>
        <w:rPr/>
        <w:t>entidades</w:t>
      </w:r>
      <w:r>
        <w:rPr>
          <w:spacing w:val="-2"/>
        </w:rPr>
        <w:t> </w:t>
      </w:r>
      <w:r>
        <w:rPr/>
        <w:t>sin</w:t>
      </w:r>
      <w:r>
        <w:rPr>
          <w:spacing w:val="-2"/>
        </w:rPr>
        <w:t> </w:t>
      </w:r>
      <w:r>
        <w:rPr/>
        <w:t>fines</w:t>
      </w:r>
      <w:r>
        <w:rPr>
          <w:spacing w:val="-1"/>
        </w:rPr>
        <w:t> </w:t>
      </w:r>
      <w:r>
        <w:rPr>
          <w:spacing w:val="-2"/>
        </w:rPr>
        <w:t>lucrativos</w:t>
      </w:r>
    </w:p>
    <w:p>
      <w:pPr>
        <w:pStyle w:val="BodyText"/>
        <w:spacing w:before="120"/>
        <w:ind w:left="0" w:firstLine="0"/>
        <w:jc w:val="left"/>
        <w:rPr>
          <w:b/>
        </w:rPr>
      </w:pPr>
    </w:p>
    <w:p>
      <w:pPr>
        <w:pStyle w:val="BodyText"/>
        <w:spacing w:before="1"/>
        <w:ind w:left="1863" w:right="2712" w:firstLine="0"/>
        <w:jc w:val="center"/>
      </w:pPr>
      <w:bookmarkStart w:name="CAPÍTULO I. Normas generales" w:id="10"/>
      <w:bookmarkEnd w:id="10"/>
      <w:r>
        <w:rPr/>
      </w:r>
      <w:bookmarkStart w:name="_bookmark4" w:id="11"/>
      <w:bookmarkEnd w:id="11"/>
      <w:r>
        <w:rPr/>
      </w:r>
      <w:r>
        <w:rPr/>
        <w:t>CAPÍTULO </w:t>
      </w:r>
      <w:r>
        <w:rPr>
          <w:spacing w:val="-10"/>
        </w:rPr>
        <w:t>I</w:t>
      </w:r>
    </w:p>
    <w:p>
      <w:pPr>
        <w:pStyle w:val="Heading2"/>
        <w:ind w:right="2713"/>
      </w:pPr>
      <w:r>
        <w:rPr/>
        <w:t>Normas</w:t>
      </w:r>
      <w:r>
        <w:rPr>
          <w:spacing w:val="-5"/>
        </w:rPr>
        <w:t> </w:t>
      </w:r>
      <w:r>
        <w:rPr>
          <w:spacing w:val="-2"/>
        </w:rPr>
        <w:t>generales</w:t>
      </w:r>
    </w:p>
    <w:p>
      <w:pPr>
        <w:pStyle w:val="BodyText"/>
        <w:spacing w:before="7"/>
        <w:ind w:left="0" w:firstLine="0"/>
        <w:jc w:val="left"/>
        <w:rPr>
          <w:b/>
        </w:rPr>
      </w:pPr>
    </w:p>
    <w:p>
      <w:pPr>
        <w:spacing w:before="0"/>
        <w:ind w:left="255" w:right="0" w:firstLine="0"/>
        <w:jc w:val="left"/>
        <w:rPr>
          <w:i/>
          <w:sz w:val="20"/>
        </w:rPr>
      </w:pPr>
      <w:bookmarkStart w:name="Artículo 2. Entidades sin fines lucrativ" w:id="12"/>
      <w:bookmarkEnd w:id="12"/>
      <w:r>
        <w:rPr/>
      </w:r>
      <w:bookmarkStart w:name="_bookmark5" w:id="13"/>
      <w:bookmarkEnd w:id="13"/>
      <w:r>
        <w:rPr/>
      </w:r>
      <w:r>
        <w:rPr>
          <w:b/>
          <w:sz w:val="20"/>
        </w:rPr>
        <w:t>Artículo</w:t>
      </w:r>
      <w:r>
        <w:rPr>
          <w:b/>
          <w:spacing w:val="-1"/>
          <w:sz w:val="20"/>
        </w:rPr>
        <w:t> </w:t>
      </w:r>
      <w:r>
        <w:rPr>
          <w:b/>
          <w:sz w:val="20"/>
        </w:rPr>
        <w:t>2.</w:t>
      </w:r>
      <w:r>
        <w:rPr>
          <w:b/>
          <w:spacing w:val="54"/>
          <w:sz w:val="20"/>
        </w:rPr>
        <w:t> </w:t>
      </w:r>
      <w:r>
        <w:rPr>
          <w:i/>
          <w:sz w:val="20"/>
        </w:rPr>
        <w:t>Entidades</w:t>
      </w:r>
      <w:r>
        <w:rPr>
          <w:i/>
          <w:spacing w:val="-1"/>
          <w:sz w:val="20"/>
        </w:rPr>
        <w:t> </w:t>
      </w:r>
      <w:r>
        <w:rPr>
          <w:i/>
          <w:sz w:val="20"/>
        </w:rPr>
        <w:t>sin fines </w:t>
      </w:r>
      <w:r>
        <w:rPr>
          <w:i/>
          <w:spacing w:val="-2"/>
          <w:sz w:val="20"/>
        </w:rPr>
        <w:t>lucrativos.</w:t>
      </w:r>
    </w:p>
    <w:p>
      <w:pPr>
        <w:pStyle w:val="BodyText"/>
        <w:spacing w:line="249" w:lineRule="auto" w:before="123"/>
        <w:ind w:right="1104"/>
      </w:pPr>
      <w:r>
        <w:rPr/>
        <w:t>Se consideran entidades sin fines lucrativos a efectos de esta ley, siempre que cumplan los requisitos establecidos en el artículo siguiente:</w:t>
      </w:r>
    </w:p>
    <w:p>
      <w:pPr>
        <w:pStyle w:val="ListParagraph"/>
        <w:numPr>
          <w:ilvl w:val="1"/>
          <w:numId w:val="1"/>
        </w:numPr>
        <w:tabs>
          <w:tab w:pos="828" w:val="left" w:leader="none"/>
        </w:tabs>
        <w:spacing w:line="240" w:lineRule="auto" w:before="122" w:after="0"/>
        <w:ind w:left="828" w:right="0" w:hanging="233"/>
        <w:jc w:val="both"/>
        <w:rPr>
          <w:sz w:val="20"/>
        </w:rPr>
      </w:pPr>
      <w:r>
        <w:rPr>
          <w:sz w:val="20"/>
        </w:rPr>
        <w:t>Las </w:t>
      </w:r>
      <w:r>
        <w:rPr>
          <w:spacing w:val="-2"/>
          <w:sz w:val="20"/>
        </w:rPr>
        <w:t>fundaciones.</w:t>
      </w:r>
    </w:p>
    <w:p>
      <w:pPr>
        <w:pStyle w:val="ListParagraph"/>
        <w:numPr>
          <w:ilvl w:val="1"/>
          <w:numId w:val="1"/>
        </w:numPr>
        <w:tabs>
          <w:tab w:pos="828" w:val="left" w:leader="none"/>
        </w:tabs>
        <w:spacing w:line="240" w:lineRule="auto" w:before="10" w:after="0"/>
        <w:ind w:left="828" w:right="0" w:hanging="233"/>
        <w:jc w:val="both"/>
        <w:rPr>
          <w:sz w:val="20"/>
        </w:rPr>
      </w:pPr>
      <w:r>
        <w:rPr>
          <w:sz w:val="20"/>
        </w:rPr>
        <w:t>Las</w:t>
      </w:r>
      <w:r>
        <w:rPr>
          <w:spacing w:val="-2"/>
          <w:sz w:val="20"/>
        </w:rPr>
        <w:t> </w:t>
      </w:r>
      <w:r>
        <w:rPr>
          <w:sz w:val="20"/>
        </w:rPr>
        <w:t>asociaciones</w:t>
      </w:r>
      <w:r>
        <w:rPr>
          <w:spacing w:val="-2"/>
          <w:sz w:val="20"/>
        </w:rPr>
        <w:t> </w:t>
      </w:r>
      <w:r>
        <w:rPr>
          <w:sz w:val="20"/>
        </w:rPr>
        <w:t>declaradas</w:t>
      </w:r>
      <w:r>
        <w:rPr>
          <w:spacing w:val="-1"/>
          <w:sz w:val="20"/>
        </w:rPr>
        <w:t> </w:t>
      </w:r>
      <w:r>
        <w:rPr>
          <w:sz w:val="20"/>
        </w:rPr>
        <w:t>de</w:t>
      </w:r>
      <w:r>
        <w:rPr>
          <w:spacing w:val="-2"/>
          <w:sz w:val="20"/>
        </w:rPr>
        <w:t> </w:t>
      </w:r>
      <w:r>
        <w:rPr>
          <w:sz w:val="20"/>
        </w:rPr>
        <w:t>utilidad</w:t>
      </w:r>
      <w:r>
        <w:rPr>
          <w:spacing w:val="-1"/>
          <w:sz w:val="20"/>
        </w:rPr>
        <w:t> </w:t>
      </w:r>
      <w:r>
        <w:rPr>
          <w:spacing w:val="-2"/>
          <w:sz w:val="20"/>
        </w:rPr>
        <w:t>pública.</w:t>
      </w:r>
    </w:p>
    <w:p>
      <w:pPr>
        <w:pStyle w:val="ListParagraph"/>
        <w:numPr>
          <w:ilvl w:val="1"/>
          <w:numId w:val="1"/>
        </w:numPr>
        <w:tabs>
          <w:tab w:pos="819" w:val="left" w:leader="none"/>
        </w:tabs>
        <w:spacing w:line="249" w:lineRule="auto" w:before="10" w:after="0"/>
        <w:ind w:left="255" w:right="1104" w:firstLine="340"/>
        <w:jc w:val="both"/>
        <w:rPr>
          <w:sz w:val="20"/>
        </w:rPr>
      </w:pPr>
      <w:r>
        <w:rPr>
          <w:sz w:val="20"/>
        </w:rPr>
        <w:t>Las</w:t>
      </w:r>
      <w:r>
        <w:rPr>
          <w:spacing w:val="-1"/>
          <w:sz w:val="20"/>
        </w:rPr>
        <w:t> </w:t>
      </w:r>
      <w:r>
        <w:rPr>
          <w:sz w:val="20"/>
        </w:rPr>
        <w:t>organizaciones</w:t>
      </w:r>
      <w:r>
        <w:rPr>
          <w:spacing w:val="-1"/>
          <w:sz w:val="20"/>
        </w:rPr>
        <w:t> </w:t>
      </w:r>
      <w:r>
        <w:rPr>
          <w:sz w:val="20"/>
        </w:rPr>
        <w:t>no</w:t>
      </w:r>
      <w:r>
        <w:rPr>
          <w:spacing w:val="-1"/>
          <w:sz w:val="20"/>
        </w:rPr>
        <w:t> </w:t>
      </w:r>
      <w:r>
        <w:rPr>
          <w:sz w:val="20"/>
        </w:rPr>
        <w:t>gubernamentales</w:t>
      </w:r>
      <w:r>
        <w:rPr>
          <w:spacing w:val="-1"/>
          <w:sz w:val="20"/>
        </w:rPr>
        <w:t> </w:t>
      </w:r>
      <w:r>
        <w:rPr>
          <w:sz w:val="20"/>
        </w:rPr>
        <w:t>de</w:t>
      </w:r>
      <w:r>
        <w:rPr>
          <w:spacing w:val="-1"/>
          <w:sz w:val="20"/>
        </w:rPr>
        <w:t> </w:t>
      </w:r>
      <w:r>
        <w:rPr>
          <w:sz w:val="20"/>
        </w:rPr>
        <w:t>desarrollo</w:t>
      </w:r>
      <w:r>
        <w:rPr>
          <w:spacing w:val="-1"/>
          <w:sz w:val="20"/>
        </w:rPr>
        <w:t> </w:t>
      </w:r>
      <w:r>
        <w:rPr>
          <w:sz w:val="20"/>
        </w:rPr>
        <w:t>a</w:t>
      </w:r>
      <w:r>
        <w:rPr>
          <w:spacing w:val="-1"/>
          <w:sz w:val="20"/>
        </w:rPr>
        <w:t> </w:t>
      </w:r>
      <w:r>
        <w:rPr>
          <w:sz w:val="20"/>
        </w:rPr>
        <w:t>que</w:t>
      </w:r>
      <w:r>
        <w:rPr>
          <w:spacing w:val="-1"/>
          <w:sz w:val="20"/>
        </w:rPr>
        <w:t> </w:t>
      </w:r>
      <w:r>
        <w:rPr>
          <w:sz w:val="20"/>
        </w:rPr>
        <w:t>se</w:t>
      </w:r>
      <w:r>
        <w:rPr>
          <w:spacing w:val="-1"/>
          <w:sz w:val="20"/>
        </w:rPr>
        <w:t> </w:t>
      </w:r>
      <w:r>
        <w:rPr>
          <w:sz w:val="20"/>
        </w:rPr>
        <w:t>refiere</w:t>
      </w:r>
      <w:r>
        <w:rPr>
          <w:spacing w:val="-1"/>
          <w:sz w:val="20"/>
        </w:rPr>
        <w:t> </w:t>
      </w:r>
      <w:r>
        <w:rPr>
          <w:sz w:val="20"/>
        </w:rPr>
        <w:t>la</w:t>
      </w:r>
      <w:r>
        <w:rPr>
          <w:spacing w:val="-1"/>
          <w:sz w:val="20"/>
        </w:rPr>
        <w:t> </w:t>
      </w:r>
      <w:r>
        <w:rPr>
          <w:sz w:val="20"/>
        </w:rPr>
        <w:t>Ley</w:t>
      </w:r>
      <w:r>
        <w:rPr>
          <w:spacing w:val="-1"/>
          <w:sz w:val="20"/>
        </w:rPr>
        <w:t> </w:t>
      </w:r>
      <w:r>
        <w:rPr>
          <w:sz w:val="20"/>
        </w:rPr>
        <w:t>23/1998, de</w:t>
      </w:r>
      <w:r>
        <w:rPr>
          <w:spacing w:val="-1"/>
          <w:sz w:val="20"/>
        </w:rPr>
        <w:t> </w:t>
      </w:r>
      <w:r>
        <w:rPr>
          <w:sz w:val="20"/>
        </w:rPr>
        <w:t>7</w:t>
      </w:r>
      <w:r>
        <w:rPr>
          <w:spacing w:val="-1"/>
          <w:sz w:val="20"/>
        </w:rPr>
        <w:t> </w:t>
      </w:r>
      <w:r>
        <w:rPr>
          <w:sz w:val="20"/>
        </w:rPr>
        <w:t>de</w:t>
      </w:r>
      <w:r>
        <w:rPr>
          <w:spacing w:val="-1"/>
          <w:sz w:val="20"/>
        </w:rPr>
        <w:t> </w:t>
      </w:r>
      <w:r>
        <w:rPr>
          <w:sz w:val="20"/>
        </w:rPr>
        <w:t>julio,</w:t>
      </w:r>
      <w:r>
        <w:rPr>
          <w:spacing w:val="-1"/>
          <w:sz w:val="20"/>
        </w:rPr>
        <w:t> </w:t>
      </w:r>
      <w:r>
        <w:rPr>
          <w:sz w:val="20"/>
        </w:rPr>
        <w:t>de</w:t>
      </w:r>
      <w:r>
        <w:rPr>
          <w:spacing w:val="-1"/>
          <w:sz w:val="20"/>
        </w:rPr>
        <w:t> </w:t>
      </w:r>
      <w:r>
        <w:rPr>
          <w:sz w:val="20"/>
        </w:rPr>
        <w:t>Cooperación</w:t>
      </w:r>
      <w:r>
        <w:rPr>
          <w:spacing w:val="-1"/>
          <w:sz w:val="20"/>
        </w:rPr>
        <w:t> </w:t>
      </w:r>
      <w:r>
        <w:rPr>
          <w:sz w:val="20"/>
        </w:rPr>
        <w:t>Internacional</w:t>
      </w:r>
      <w:r>
        <w:rPr>
          <w:spacing w:val="-1"/>
          <w:sz w:val="20"/>
        </w:rPr>
        <w:t> </w:t>
      </w:r>
      <w:r>
        <w:rPr>
          <w:sz w:val="20"/>
        </w:rPr>
        <w:t>para</w:t>
      </w:r>
      <w:r>
        <w:rPr>
          <w:spacing w:val="-1"/>
          <w:sz w:val="20"/>
        </w:rPr>
        <w:t> </w:t>
      </w:r>
      <w:r>
        <w:rPr>
          <w:sz w:val="20"/>
        </w:rPr>
        <w:t>el</w:t>
      </w:r>
      <w:r>
        <w:rPr>
          <w:spacing w:val="-1"/>
          <w:sz w:val="20"/>
        </w:rPr>
        <w:t> </w:t>
      </w:r>
      <w:r>
        <w:rPr>
          <w:sz w:val="20"/>
        </w:rPr>
        <w:t>Desarrollo,</w:t>
      </w:r>
      <w:r>
        <w:rPr>
          <w:spacing w:val="-1"/>
          <w:sz w:val="20"/>
        </w:rPr>
        <w:t> </w:t>
      </w:r>
      <w:r>
        <w:rPr>
          <w:sz w:val="20"/>
        </w:rPr>
        <w:t>siempre</w:t>
      </w:r>
      <w:r>
        <w:rPr>
          <w:spacing w:val="-1"/>
          <w:sz w:val="20"/>
        </w:rPr>
        <w:t> </w:t>
      </w:r>
      <w:r>
        <w:rPr>
          <w:sz w:val="20"/>
        </w:rPr>
        <w:t>que</w:t>
      </w:r>
      <w:r>
        <w:rPr>
          <w:spacing w:val="-1"/>
          <w:sz w:val="20"/>
        </w:rPr>
        <w:t> </w:t>
      </w:r>
      <w:r>
        <w:rPr>
          <w:sz w:val="20"/>
        </w:rPr>
        <w:t>tengan</w:t>
      </w:r>
      <w:r>
        <w:rPr>
          <w:spacing w:val="-1"/>
          <w:sz w:val="20"/>
        </w:rPr>
        <w:t> </w:t>
      </w:r>
      <w:r>
        <w:rPr>
          <w:sz w:val="20"/>
        </w:rPr>
        <w:t>alguna</w:t>
      </w:r>
      <w:r>
        <w:rPr>
          <w:spacing w:val="-1"/>
          <w:sz w:val="20"/>
        </w:rPr>
        <w:t> </w:t>
      </w:r>
      <w:r>
        <w:rPr>
          <w:sz w:val="20"/>
        </w:rPr>
        <w:t>de las formas jurídicas a que se refieren los párrafos anteriores.</w:t>
      </w:r>
    </w:p>
    <w:p>
      <w:pPr>
        <w:pStyle w:val="ListParagraph"/>
        <w:numPr>
          <w:ilvl w:val="1"/>
          <w:numId w:val="1"/>
        </w:numPr>
        <w:tabs>
          <w:tab w:pos="868" w:val="left" w:leader="none"/>
        </w:tabs>
        <w:spacing w:line="249" w:lineRule="auto" w:before="2" w:after="0"/>
        <w:ind w:left="255" w:right="1104" w:firstLine="340"/>
        <w:jc w:val="both"/>
        <w:rPr>
          <w:sz w:val="20"/>
        </w:rPr>
      </w:pPr>
      <w:r>
        <w:rPr>
          <w:sz w:val="20"/>
        </w:rPr>
        <w:t>Las federaciones deportivas españolas, las federaciones deportivas territoriales </w:t>
      </w:r>
      <w:r>
        <w:rPr>
          <w:sz w:val="20"/>
        </w:rPr>
        <w:t>de ámbito autonómico integradas en aquellas, el Comité Olímpico Español y el Comité Paralímpico Español.</w:t>
      </w:r>
    </w:p>
    <w:p>
      <w:pPr>
        <w:pStyle w:val="ListParagraph"/>
        <w:numPr>
          <w:ilvl w:val="1"/>
          <w:numId w:val="1"/>
        </w:numPr>
        <w:tabs>
          <w:tab w:pos="832" w:val="left" w:leader="none"/>
        </w:tabs>
        <w:spacing w:line="249" w:lineRule="auto" w:before="3" w:after="0"/>
        <w:ind w:left="255" w:right="1102" w:firstLine="340"/>
        <w:jc w:val="both"/>
        <w:rPr>
          <w:sz w:val="20"/>
        </w:rPr>
      </w:pPr>
      <w:r>
        <w:rPr>
          <w:sz w:val="20"/>
        </w:rPr>
        <w:t>Las federaciones y asociaciones de las entidades sin fines lucrativos a que se refieren las letras anteriores.</w:t>
      </w:r>
    </w:p>
    <w:p>
      <w:pPr>
        <w:pStyle w:val="ListParagraph"/>
        <w:numPr>
          <w:ilvl w:val="1"/>
          <w:numId w:val="1"/>
        </w:numPr>
        <w:tabs>
          <w:tab w:pos="838" w:val="left" w:leader="none"/>
        </w:tabs>
        <w:spacing w:line="249" w:lineRule="auto" w:before="2" w:after="0"/>
        <w:ind w:left="255" w:right="1103" w:firstLine="340"/>
        <w:jc w:val="both"/>
        <w:rPr>
          <w:sz w:val="20"/>
        </w:rPr>
      </w:pPr>
      <w:r>
        <w:rPr>
          <w:sz w:val="20"/>
        </w:rPr>
        <w:t>Las entidades no residentes en territorio español que operen en el mismo con establecimiento permanente y sean análogas a algunas de las previstas en las letras </w:t>
      </w:r>
      <w:r>
        <w:rPr>
          <w:spacing w:val="-2"/>
          <w:sz w:val="20"/>
        </w:rPr>
        <w:t>anteriores.</w:t>
      </w:r>
    </w:p>
    <w:p>
      <w:pPr>
        <w:pStyle w:val="BodyText"/>
        <w:spacing w:line="249" w:lineRule="auto"/>
        <w:ind w:right="1104"/>
      </w:pPr>
      <w:r>
        <w:rPr/>
        <w:t>Quedarán excluidas aquellas entidades residentes en una jurisdicción no cooperativa, excepto que se trate de un Estado miembro de la Unión Europea y se acredite que su constitución y operativa responden a motivos económicos válidos.</w:t>
      </w:r>
    </w:p>
    <w:p>
      <w:pPr>
        <w:pStyle w:val="ListParagraph"/>
        <w:numPr>
          <w:ilvl w:val="1"/>
          <w:numId w:val="1"/>
        </w:numPr>
        <w:tabs>
          <w:tab w:pos="869" w:val="left" w:leader="none"/>
        </w:tabs>
        <w:spacing w:line="249" w:lineRule="auto" w:before="2" w:after="0"/>
        <w:ind w:left="255" w:right="1103" w:firstLine="340"/>
        <w:jc w:val="both"/>
        <w:rPr>
          <w:sz w:val="20"/>
        </w:rPr>
      </w:pPr>
      <w:r>
        <w:rPr>
          <w:sz w:val="20"/>
        </w:rPr>
        <w:t>Las entidades residentes en un Estado miembro de la Unión Europea o de otros Estados integrantes del Espacio Económico Europeo con los que exista normativa sobre asistencia mutua en materia de intercambio de información tributaria en los términos previstos en la Ley 58/2003, de 17 de diciembre, General Tributaria, que sea de aplicación, sin establecimiento permanente en territorio español, que sean análogas a alguna de las previstas en las letras anteriores.</w:t>
      </w:r>
    </w:p>
    <w:p>
      <w:pPr>
        <w:pStyle w:val="BodyText"/>
        <w:spacing w:line="249" w:lineRule="auto" w:before="5"/>
        <w:ind w:right="1104"/>
      </w:pPr>
      <w:r>
        <w:rPr/>
        <w:t>Quedarán excluidas aquellas entidades residentes en una jurisdicción no cooperativa, excepto que se acredite que su constitución y operativa responde a motivos económicos </w:t>
      </w:r>
      <w:r>
        <w:rPr>
          <w:spacing w:val="-2"/>
        </w:rPr>
        <w:t>válidos.</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spacing w:before="1"/>
        <w:ind w:left="255" w:right="0" w:firstLine="0"/>
        <w:jc w:val="left"/>
        <w:rPr>
          <w:i/>
          <w:sz w:val="20"/>
        </w:rPr>
      </w:pPr>
      <w:bookmarkStart w:name="Artículo 3. Requisitos de las entidades " w:id="14"/>
      <w:bookmarkEnd w:id="14"/>
      <w:r>
        <w:rPr/>
      </w:r>
      <w:bookmarkStart w:name="_bookmark6" w:id="15"/>
      <w:bookmarkEnd w:id="15"/>
      <w:r>
        <w:rPr/>
      </w:r>
      <w:r>
        <w:rPr>
          <w:b/>
          <w:sz w:val="20"/>
        </w:rPr>
        <w:t>Artículo</w:t>
      </w:r>
      <w:r>
        <w:rPr>
          <w:b/>
          <w:spacing w:val="-1"/>
          <w:sz w:val="20"/>
        </w:rPr>
        <w:t> </w:t>
      </w:r>
      <w:r>
        <w:rPr>
          <w:b/>
          <w:sz w:val="20"/>
        </w:rPr>
        <w:t>3.</w:t>
      </w:r>
      <w:r>
        <w:rPr>
          <w:b/>
          <w:spacing w:val="54"/>
          <w:sz w:val="20"/>
        </w:rPr>
        <w:t> </w:t>
      </w:r>
      <w:r>
        <w:rPr>
          <w:i/>
          <w:sz w:val="20"/>
        </w:rPr>
        <w:t>Requisitos</w:t>
      </w:r>
      <w:r>
        <w:rPr>
          <w:i/>
          <w:spacing w:val="-1"/>
          <w:sz w:val="20"/>
        </w:rPr>
        <w:t> </w:t>
      </w:r>
      <w:r>
        <w:rPr>
          <w:i/>
          <w:sz w:val="20"/>
        </w:rPr>
        <w:t>de las entidades</w:t>
      </w:r>
      <w:r>
        <w:rPr>
          <w:i/>
          <w:spacing w:val="-1"/>
          <w:sz w:val="20"/>
        </w:rPr>
        <w:t> </w:t>
      </w:r>
      <w:r>
        <w:rPr>
          <w:i/>
          <w:sz w:val="20"/>
        </w:rPr>
        <w:t>sin fines </w:t>
      </w:r>
      <w:r>
        <w:rPr>
          <w:i/>
          <w:spacing w:val="-2"/>
          <w:sz w:val="20"/>
        </w:rPr>
        <w:t>lucrativos.</w:t>
      </w:r>
    </w:p>
    <w:p>
      <w:pPr>
        <w:pStyle w:val="BodyText"/>
        <w:spacing w:line="249" w:lineRule="auto" w:before="123"/>
        <w:ind w:right="1105"/>
      </w:pPr>
      <w:r>
        <w:rPr/>
        <w:t>Las entidades a que se refiere el artículo anterior, que cumplan los siguientes requisitos, serán consideradas, a efectos de esta Ley, como entidades sin fines lucrativos:</w:t>
      </w:r>
    </w:p>
    <w:p>
      <w:pPr>
        <w:pStyle w:val="ListParagraph"/>
        <w:numPr>
          <w:ilvl w:val="0"/>
          <w:numId w:val="2"/>
        </w:numPr>
        <w:tabs>
          <w:tab w:pos="761" w:val="left" w:leader="none"/>
        </w:tabs>
        <w:spacing w:line="249" w:lineRule="auto" w:before="122" w:after="0"/>
        <w:ind w:left="255" w:right="1101" w:firstLine="340"/>
        <w:jc w:val="both"/>
        <w:rPr>
          <w:sz w:val="20"/>
        </w:rPr>
      </w:pPr>
      <w:r>
        <w:rPr>
          <w:sz w:val="20"/>
        </w:rPr>
        <w:t>° Que persigan fines de interés general, como pueden ser, entre otros, los de defensa de los derechos humanos, de las víctimas del terrorismo y actos violentos, los de asistencia social e inclusión social, cívicos, educativos, culturales, científicos, deportivos, sanitarios, laborales, de fortalecimiento institucional, de cooperación para el desarrollo, de promoción</w:t>
      </w:r>
      <w:r>
        <w:rPr>
          <w:spacing w:val="40"/>
          <w:sz w:val="20"/>
        </w:rPr>
        <w:t> </w:t>
      </w:r>
      <w:r>
        <w:rPr>
          <w:sz w:val="20"/>
        </w:rPr>
        <w:t>del voluntariado, de promoción de la acción social, de defensa del medio ambiente, de defensa de los animales, de promoción y atención a las personas en riesgo de exclusión por razones físicas, económicas o culturales, de promoción de los valores constitucionales y defensa de los principios democráticos, de fomento de la tolerancia, de fomento de la economía social, de desarrollo de la sociedad de la información, de investigación científica, desarrollo o innovación tecnológica y de transferencia de la misma hacia el tejido productivo como elemento impulsor de la productividad y competitividad empresarial.</w:t>
      </w:r>
    </w:p>
    <w:p>
      <w:pPr>
        <w:pStyle w:val="ListParagraph"/>
        <w:numPr>
          <w:ilvl w:val="0"/>
          <w:numId w:val="2"/>
        </w:numPr>
        <w:tabs>
          <w:tab w:pos="761" w:val="left" w:leader="none"/>
        </w:tabs>
        <w:spacing w:line="249" w:lineRule="auto" w:before="9" w:after="0"/>
        <w:ind w:left="255" w:right="1102" w:firstLine="340"/>
        <w:jc w:val="both"/>
        <w:rPr>
          <w:sz w:val="20"/>
        </w:rPr>
      </w:pPr>
      <w:r>
        <w:rPr>
          <w:sz w:val="20"/>
        </w:rPr>
        <w:t>°</w:t>
      </w:r>
      <w:r>
        <w:rPr>
          <w:spacing w:val="-2"/>
          <w:sz w:val="20"/>
        </w:rPr>
        <w:t> </w:t>
      </w:r>
      <w:r>
        <w:rPr>
          <w:sz w:val="20"/>
        </w:rPr>
        <w:t>Que</w:t>
      </w:r>
      <w:r>
        <w:rPr>
          <w:spacing w:val="-2"/>
          <w:sz w:val="20"/>
        </w:rPr>
        <w:t> </w:t>
      </w:r>
      <w:r>
        <w:rPr>
          <w:sz w:val="20"/>
        </w:rPr>
        <w:t>destinen,</w:t>
      </w:r>
      <w:r>
        <w:rPr>
          <w:spacing w:val="-2"/>
          <w:sz w:val="20"/>
        </w:rPr>
        <w:t> </w:t>
      </w:r>
      <w:r>
        <w:rPr>
          <w:sz w:val="20"/>
        </w:rPr>
        <w:t>directa</w:t>
      </w:r>
      <w:r>
        <w:rPr>
          <w:spacing w:val="-2"/>
          <w:sz w:val="20"/>
        </w:rPr>
        <w:t> </w:t>
      </w:r>
      <w:r>
        <w:rPr>
          <w:sz w:val="20"/>
        </w:rPr>
        <w:t>o</w:t>
      </w:r>
      <w:r>
        <w:rPr>
          <w:spacing w:val="-2"/>
          <w:sz w:val="20"/>
        </w:rPr>
        <w:t> </w:t>
      </w:r>
      <w:r>
        <w:rPr>
          <w:sz w:val="20"/>
        </w:rPr>
        <w:t>indirectamente,</w:t>
      </w:r>
      <w:r>
        <w:rPr>
          <w:spacing w:val="-2"/>
          <w:sz w:val="20"/>
        </w:rPr>
        <w:t> </w:t>
      </w:r>
      <w:r>
        <w:rPr>
          <w:sz w:val="20"/>
        </w:rPr>
        <w:t>a</w:t>
      </w:r>
      <w:r>
        <w:rPr>
          <w:spacing w:val="-2"/>
          <w:sz w:val="20"/>
        </w:rPr>
        <w:t> </w:t>
      </w:r>
      <w:r>
        <w:rPr>
          <w:sz w:val="20"/>
        </w:rPr>
        <w:t>la</w:t>
      </w:r>
      <w:r>
        <w:rPr>
          <w:spacing w:val="-2"/>
          <w:sz w:val="20"/>
        </w:rPr>
        <w:t> </w:t>
      </w:r>
      <w:r>
        <w:rPr>
          <w:sz w:val="20"/>
        </w:rPr>
        <w:t>realización</w:t>
      </w:r>
      <w:r>
        <w:rPr>
          <w:spacing w:val="-2"/>
          <w:sz w:val="20"/>
        </w:rPr>
        <w:t> </w:t>
      </w:r>
      <w:r>
        <w:rPr>
          <w:sz w:val="20"/>
        </w:rPr>
        <w:t>de</w:t>
      </w:r>
      <w:r>
        <w:rPr>
          <w:spacing w:val="-2"/>
          <w:sz w:val="20"/>
        </w:rPr>
        <w:t> </w:t>
      </w:r>
      <w:r>
        <w:rPr>
          <w:sz w:val="20"/>
        </w:rPr>
        <w:t>dichos</w:t>
      </w:r>
      <w:r>
        <w:rPr>
          <w:spacing w:val="-2"/>
          <w:sz w:val="20"/>
        </w:rPr>
        <w:t> </w:t>
      </w:r>
      <w:r>
        <w:rPr>
          <w:sz w:val="20"/>
        </w:rPr>
        <w:t>fines</w:t>
      </w:r>
      <w:r>
        <w:rPr>
          <w:spacing w:val="-2"/>
          <w:sz w:val="20"/>
        </w:rPr>
        <w:t> </w:t>
      </w:r>
      <w:r>
        <w:rPr>
          <w:sz w:val="20"/>
        </w:rPr>
        <w:t>al</w:t>
      </w:r>
      <w:r>
        <w:rPr>
          <w:spacing w:val="-2"/>
          <w:sz w:val="20"/>
        </w:rPr>
        <w:t> </w:t>
      </w:r>
      <w:r>
        <w:rPr>
          <w:sz w:val="20"/>
        </w:rPr>
        <w:t>menos</w:t>
      </w:r>
      <w:r>
        <w:rPr>
          <w:spacing w:val="-2"/>
          <w:sz w:val="20"/>
        </w:rPr>
        <w:t> </w:t>
      </w:r>
      <w:r>
        <w:rPr>
          <w:sz w:val="20"/>
        </w:rPr>
        <w:t>el</w:t>
      </w:r>
      <w:r>
        <w:rPr>
          <w:spacing w:val="-2"/>
          <w:sz w:val="20"/>
        </w:rPr>
        <w:t> </w:t>
      </w:r>
      <w:r>
        <w:rPr>
          <w:sz w:val="20"/>
        </w:rPr>
        <w:t>70 por ciento de las siguientes rentas e ingresos:</w:t>
      </w:r>
    </w:p>
    <w:p>
      <w:pPr>
        <w:pStyle w:val="ListParagraph"/>
        <w:numPr>
          <w:ilvl w:val="1"/>
          <w:numId w:val="2"/>
        </w:numPr>
        <w:tabs>
          <w:tab w:pos="828" w:val="left" w:leader="none"/>
        </w:tabs>
        <w:spacing w:line="240" w:lineRule="auto" w:before="121" w:after="0"/>
        <w:ind w:left="828" w:right="0" w:hanging="233"/>
        <w:jc w:val="both"/>
        <w:rPr>
          <w:sz w:val="20"/>
        </w:rPr>
      </w:pPr>
      <w:r>
        <w:rPr>
          <w:sz w:val="20"/>
        </w:rPr>
        <w:t>Las</w:t>
      </w:r>
      <w:r>
        <w:rPr>
          <w:spacing w:val="-1"/>
          <w:sz w:val="20"/>
        </w:rPr>
        <w:t> </w:t>
      </w:r>
      <w:r>
        <w:rPr>
          <w:sz w:val="20"/>
        </w:rPr>
        <w:t>rentas de</w:t>
      </w:r>
      <w:r>
        <w:rPr>
          <w:spacing w:val="-1"/>
          <w:sz w:val="20"/>
        </w:rPr>
        <w:t> </w:t>
      </w:r>
      <w:r>
        <w:rPr>
          <w:sz w:val="20"/>
        </w:rPr>
        <w:t>las explotaciones</w:t>
      </w:r>
      <w:r>
        <w:rPr>
          <w:spacing w:val="-1"/>
          <w:sz w:val="20"/>
        </w:rPr>
        <w:t> </w:t>
      </w:r>
      <w:r>
        <w:rPr>
          <w:sz w:val="20"/>
        </w:rPr>
        <w:t>económicas que </w:t>
      </w:r>
      <w:r>
        <w:rPr>
          <w:spacing w:val="-2"/>
          <w:sz w:val="20"/>
        </w:rPr>
        <w:t>desarrollen.</w:t>
      </w:r>
    </w:p>
    <w:p>
      <w:pPr>
        <w:pStyle w:val="ListParagraph"/>
        <w:numPr>
          <w:ilvl w:val="1"/>
          <w:numId w:val="2"/>
        </w:numPr>
        <w:tabs>
          <w:tab w:pos="846" w:val="left" w:leader="none"/>
        </w:tabs>
        <w:spacing w:line="249" w:lineRule="auto" w:before="10" w:after="0"/>
        <w:ind w:left="255" w:right="1104" w:firstLine="340"/>
        <w:jc w:val="both"/>
        <w:rPr>
          <w:sz w:val="20"/>
        </w:rPr>
      </w:pPr>
      <w:r>
        <w:rPr>
          <w:sz w:val="20"/>
        </w:rPr>
        <w:t>Las rentas derivadas de la transmisión de bienes o derechos de su titularidad. En el cálculo de estas rentas no se incluirán las obtenidas en la transmisión onerosa de bienes inmuebles en los que la entidad desarrolle la actividad propia de su objeto o finalidad específica, siempre que el importe de la citada transmisión se reinvierta en bienes y</w:t>
      </w:r>
      <w:r>
        <w:rPr>
          <w:spacing w:val="40"/>
          <w:sz w:val="20"/>
        </w:rPr>
        <w:t> </w:t>
      </w:r>
      <w:r>
        <w:rPr>
          <w:sz w:val="20"/>
        </w:rPr>
        <w:t>derechos en los que concurra dicha circunstancia.</w:t>
      </w:r>
    </w:p>
    <w:p>
      <w:pPr>
        <w:pStyle w:val="ListParagraph"/>
        <w:numPr>
          <w:ilvl w:val="1"/>
          <w:numId w:val="2"/>
        </w:numPr>
        <w:tabs>
          <w:tab w:pos="893" w:val="left" w:leader="none"/>
        </w:tabs>
        <w:spacing w:line="249" w:lineRule="auto" w:before="4" w:after="0"/>
        <w:ind w:left="255" w:right="1102" w:firstLine="340"/>
        <w:jc w:val="both"/>
        <w:rPr>
          <w:sz w:val="20"/>
        </w:rPr>
      </w:pPr>
      <w:r>
        <w:rPr>
          <w:sz w:val="20"/>
        </w:rPr>
        <w:t>Los ingresos que obtengan por cualquier otro concepto, deducidos los gastos realizados para la obtención de tales ingresos. Los gastos realizados para la obtención de tales ingresos podrán estar integrados, en su caso, por la parte proporcional de los gastos por servicios exteriores, de los gastos de personal, de otros gastos de gestión, de los gastos financieros y de los tributos, en cuanto que contribuyan a la obtención de los ingresos, excluyendo de este cálculo los gastos realizados para el cumplimiento de los fines estatutarios o del objeto de la entidad sin fines lucrativos. En el cálculo de los ingresos no se incluirán las aportaciones o donaciones recibidas en concepto de dotación patrimonial en el momento de su constitución o en un momento posterior.</w:t>
      </w:r>
    </w:p>
    <w:p>
      <w:pPr>
        <w:pStyle w:val="BodyText"/>
        <w:spacing w:line="249" w:lineRule="auto" w:before="128"/>
        <w:ind w:right="1103"/>
      </w:pPr>
      <w:r>
        <w:rPr/>
        <w:t>Las entidades sin fines lucrativos deberán destinar el resto de las rentas e ingresos a incrementar la dotación patrimonial o las reservas.</w:t>
      </w:r>
    </w:p>
    <w:p>
      <w:pPr>
        <w:pStyle w:val="BodyText"/>
        <w:spacing w:line="249" w:lineRule="auto" w:before="1"/>
        <w:ind w:right="1105"/>
      </w:pPr>
      <w:r>
        <w:rPr/>
        <w:t>El plazo para el cumplimiento de este requisito será el comprendido entre el inicio del ejercicio en que se hayan obtenido las respectivas rentas e ingresos y los cuatro años siguientes al cierre de dicho ejercicio.</w:t>
      </w:r>
    </w:p>
    <w:p>
      <w:pPr>
        <w:pStyle w:val="ListParagraph"/>
        <w:numPr>
          <w:ilvl w:val="0"/>
          <w:numId w:val="2"/>
        </w:numPr>
        <w:tabs>
          <w:tab w:pos="761" w:val="left" w:leader="none"/>
        </w:tabs>
        <w:spacing w:line="249" w:lineRule="auto" w:before="3" w:after="0"/>
        <w:ind w:left="255" w:right="1103" w:firstLine="340"/>
        <w:jc w:val="both"/>
        <w:rPr>
          <w:sz w:val="20"/>
        </w:rPr>
      </w:pPr>
      <w:r>
        <w:rPr>
          <w:sz w:val="20"/>
        </w:rPr>
        <w:t>° Que la actividad realizada no consista en el desarrollo de explotaciones económicas ajenas a su objeto o finalidad estatutaria. Se entenderá cumplido este requisito si el importe neto de la cifra de negocios del ejercicio correspondiente al conjunto de las explotaciones económicas no exentas ajenas a su objeto o finalidad estatutaria no excede del 40</w:t>
      </w:r>
      <w:r>
        <w:rPr>
          <w:spacing w:val="-14"/>
          <w:sz w:val="20"/>
        </w:rPr>
        <w:t> </w:t>
      </w:r>
      <w:r>
        <w:rPr>
          <w:sz w:val="20"/>
        </w:rPr>
        <w:t>% de los ingresos totales de la entidad, siempre que el desarrollo de estas explotaciones económicas no</w:t>
      </w:r>
      <w:r>
        <w:rPr>
          <w:spacing w:val="-1"/>
          <w:sz w:val="20"/>
        </w:rPr>
        <w:t> </w:t>
      </w:r>
      <w:r>
        <w:rPr>
          <w:sz w:val="20"/>
        </w:rPr>
        <w:t>exentas</w:t>
      </w:r>
      <w:r>
        <w:rPr>
          <w:spacing w:val="-1"/>
          <w:sz w:val="20"/>
        </w:rPr>
        <w:t> </w:t>
      </w:r>
      <w:r>
        <w:rPr>
          <w:sz w:val="20"/>
        </w:rPr>
        <w:t>no</w:t>
      </w:r>
      <w:r>
        <w:rPr>
          <w:spacing w:val="-1"/>
          <w:sz w:val="20"/>
        </w:rPr>
        <w:t> </w:t>
      </w:r>
      <w:r>
        <w:rPr>
          <w:sz w:val="20"/>
        </w:rPr>
        <w:t>vulnere</w:t>
      </w:r>
      <w:r>
        <w:rPr>
          <w:spacing w:val="-1"/>
          <w:sz w:val="20"/>
        </w:rPr>
        <w:t> </w:t>
      </w:r>
      <w:r>
        <w:rPr>
          <w:sz w:val="20"/>
        </w:rPr>
        <w:t>las</w:t>
      </w:r>
      <w:r>
        <w:rPr>
          <w:spacing w:val="-1"/>
          <w:sz w:val="20"/>
        </w:rPr>
        <w:t> </w:t>
      </w:r>
      <w:r>
        <w:rPr>
          <w:sz w:val="20"/>
        </w:rPr>
        <w:t>normas</w:t>
      </w:r>
      <w:r>
        <w:rPr>
          <w:spacing w:val="-1"/>
          <w:sz w:val="20"/>
        </w:rPr>
        <w:t> </w:t>
      </w:r>
      <w:r>
        <w:rPr>
          <w:sz w:val="20"/>
        </w:rPr>
        <w:t>reguladoras</w:t>
      </w:r>
      <w:r>
        <w:rPr>
          <w:spacing w:val="-1"/>
          <w:sz w:val="20"/>
        </w:rPr>
        <w:t> </w:t>
      </w:r>
      <w:r>
        <w:rPr>
          <w:sz w:val="20"/>
        </w:rPr>
        <w:t>de</w:t>
      </w:r>
      <w:r>
        <w:rPr>
          <w:spacing w:val="-1"/>
          <w:sz w:val="20"/>
        </w:rPr>
        <w:t> </w:t>
      </w:r>
      <w:r>
        <w:rPr>
          <w:sz w:val="20"/>
        </w:rPr>
        <w:t>defensa</w:t>
      </w:r>
      <w:r>
        <w:rPr>
          <w:spacing w:val="-1"/>
          <w:sz w:val="20"/>
        </w:rPr>
        <w:t> </w:t>
      </w:r>
      <w:r>
        <w:rPr>
          <w:sz w:val="20"/>
        </w:rPr>
        <w:t>de</w:t>
      </w:r>
      <w:r>
        <w:rPr>
          <w:spacing w:val="-1"/>
          <w:sz w:val="20"/>
        </w:rPr>
        <w:t> </w:t>
      </w:r>
      <w:r>
        <w:rPr>
          <w:sz w:val="20"/>
        </w:rPr>
        <w:t>la</w:t>
      </w:r>
      <w:r>
        <w:rPr>
          <w:spacing w:val="-1"/>
          <w:sz w:val="20"/>
        </w:rPr>
        <w:t> </w:t>
      </w:r>
      <w:r>
        <w:rPr>
          <w:sz w:val="20"/>
        </w:rPr>
        <w:t>competencia</w:t>
      </w:r>
      <w:r>
        <w:rPr>
          <w:spacing w:val="-1"/>
          <w:sz w:val="20"/>
        </w:rPr>
        <w:t> </w:t>
      </w:r>
      <w:r>
        <w:rPr>
          <w:sz w:val="20"/>
        </w:rPr>
        <w:t>en</w:t>
      </w:r>
      <w:r>
        <w:rPr>
          <w:spacing w:val="-1"/>
          <w:sz w:val="20"/>
        </w:rPr>
        <w:t> </w:t>
      </w:r>
      <w:r>
        <w:rPr>
          <w:sz w:val="20"/>
        </w:rPr>
        <w:t>relación</w:t>
      </w:r>
      <w:r>
        <w:rPr>
          <w:spacing w:val="-1"/>
          <w:sz w:val="20"/>
        </w:rPr>
        <w:t> </w:t>
      </w:r>
      <w:r>
        <w:rPr>
          <w:sz w:val="20"/>
        </w:rPr>
        <w:t>con empresas que realicen la misma actividad.</w:t>
      </w:r>
    </w:p>
    <w:p>
      <w:pPr>
        <w:pStyle w:val="BodyText"/>
        <w:spacing w:line="249" w:lineRule="auto" w:before="6"/>
        <w:ind w:right="1104"/>
      </w:pPr>
      <w:r>
        <w:rPr/>
        <w:t>A</w:t>
      </w:r>
      <w:r>
        <w:rPr>
          <w:spacing w:val="-1"/>
        </w:rPr>
        <w:t> </w:t>
      </w:r>
      <w:r>
        <w:rPr/>
        <w:t>efectos</w:t>
      </w:r>
      <w:r>
        <w:rPr>
          <w:spacing w:val="-1"/>
        </w:rPr>
        <w:t> </w:t>
      </w:r>
      <w:r>
        <w:rPr/>
        <w:t>de</w:t>
      </w:r>
      <w:r>
        <w:rPr>
          <w:spacing w:val="-1"/>
        </w:rPr>
        <w:t> </w:t>
      </w:r>
      <w:r>
        <w:rPr/>
        <w:t>esta</w:t>
      </w:r>
      <w:r>
        <w:rPr>
          <w:spacing w:val="-1"/>
        </w:rPr>
        <w:t> </w:t>
      </w:r>
      <w:r>
        <w:rPr/>
        <w:t>Ley,</w:t>
      </w:r>
      <w:r>
        <w:rPr>
          <w:spacing w:val="-1"/>
        </w:rPr>
        <w:t> </w:t>
      </w:r>
      <w:r>
        <w:rPr/>
        <w:t>se</w:t>
      </w:r>
      <w:r>
        <w:rPr>
          <w:spacing w:val="-1"/>
        </w:rPr>
        <w:t> </w:t>
      </w:r>
      <w:r>
        <w:rPr/>
        <w:t>considera</w:t>
      </w:r>
      <w:r>
        <w:rPr>
          <w:spacing w:val="-1"/>
        </w:rPr>
        <w:t> </w:t>
      </w:r>
      <w:r>
        <w:rPr/>
        <w:t>que</w:t>
      </w:r>
      <w:r>
        <w:rPr>
          <w:spacing w:val="-1"/>
        </w:rPr>
        <w:t> </w:t>
      </w:r>
      <w:r>
        <w:rPr/>
        <w:t>las</w:t>
      </w:r>
      <w:r>
        <w:rPr>
          <w:spacing w:val="-1"/>
        </w:rPr>
        <w:t> </w:t>
      </w:r>
      <w:r>
        <w:rPr/>
        <w:t>entidades</w:t>
      </w:r>
      <w:r>
        <w:rPr>
          <w:spacing w:val="-1"/>
        </w:rPr>
        <w:t> </w:t>
      </w:r>
      <w:r>
        <w:rPr/>
        <w:t>sin</w:t>
      </w:r>
      <w:r>
        <w:rPr>
          <w:spacing w:val="-1"/>
        </w:rPr>
        <w:t> </w:t>
      </w:r>
      <w:r>
        <w:rPr/>
        <w:t>fines</w:t>
      </w:r>
      <w:r>
        <w:rPr>
          <w:spacing w:val="-1"/>
        </w:rPr>
        <w:t> </w:t>
      </w:r>
      <w:r>
        <w:rPr/>
        <w:t>lucrativos</w:t>
      </w:r>
      <w:r>
        <w:rPr>
          <w:spacing w:val="-1"/>
        </w:rPr>
        <w:t> </w:t>
      </w:r>
      <w:r>
        <w:rPr/>
        <w:t>desarrollan</w:t>
      </w:r>
      <w:r>
        <w:rPr>
          <w:spacing w:val="-1"/>
        </w:rPr>
        <w:t> </w:t>
      </w:r>
      <w:r>
        <w:rPr/>
        <w:t>una explotación económica cuando realicen la ordenación por cuenta propia de medios de producción y de recursos humanos, o de uno de ambos, con la finalidad de intervenir en la producción o distribución de bienes o servicios. El arrendamiento u otras formas de cesión</w:t>
      </w:r>
      <w:r>
        <w:rPr>
          <w:spacing w:val="40"/>
        </w:rPr>
        <w:t> </w:t>
      </w:r>
      <w:r>
        <w:rPr/>
        <w:t>de uso del patrimonio inmobiliario de la entidad no constituye, a estos efectos, explotación </w:t>
      </w:r>
      <w:r>
        <w:rPr>
          <w:spacing w:val="-2"/>
        </w:rPr>
        <w:t>económica.</w:t>
      </w:r>
    </w:p>
    <w:p>
      <w:pPr>
        <w:pStyle w:val="ListParagraph"/>
        <w:numPr>
          <w:ilvl w:val="0"/>
          <w:numId w:val="2"/>
        </w:numPr>
        <w:tabs>
          <w:tab w:pos="761" w:val="left" w:leader="none"/>
        </w:tabs>
        <w:spacing w:line="249" w:lineRule="auto" w:before="5" w:after="0"/>
        <w:ind w:left="255" w:right="1103" w:firstLine="340"/>
        <w:jc w:val="both"/>
        <w:rPr>
          <w:sz w:val="20"/>
        </w:rPr>
      </w:pPr>
      <w:r>
        <w:rPr>
          <w:sz w:val="20"/>
        </w:rPr>
        <w:t>° Que los fundadores, asociados, patronos, representantes estatutarios, miembros de los órganos de gobierno y los cónyuges o parientes hasta el cuarto grado inclusive de cualquiera de ellos no sean los destinatarios principales de las actividades que se realicen por las entidades, ni se beneficien de condiciones especiales para utilizar sus servicios.</w:t>
      </w:r>
    </w:p>
    <w:p>
      <w:pPr>
        <w:pStyle w:val="BodyText"/>
        <w:spacing w:line="249" w:lineRule="auto" w:before="3"/>
        <w:ind w:right="1104"/>
      </w:pPr>
      <w:r>
        <w:rPr/>
        <w:t>Lo dispuesto en el párrafo anterior no se aplicará a las actividades de investigación científica y desarrollo tecnológico, ni a las actividades de asistencia social o deportivas a que se refiere el artículo 20, apartado uno, en sus números 8.° y 13.°, respectivamente, de la Ley</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right="1103" w:firstLine="0"/>
      </w:pPr>
      <w:r>
        <w:rPr/>
        <w:t>37/1992, de 28 de diciembre, del Impuesto sobre el Valor Añadido, ni a las fundaciones cuya finalidad sea la conservación y restauración de bienes del Patrimonio Histórico Español que cumplan las exigencias de la Ley 16/1985, de 25 de junio, del Patrimonio Histórico Español,</w:t>
      </w:r>
      <w:r>
        <w:rPr>
          <w:spacing w:val="40"/>
        </w:rPr>
        <w:t> </w:t>
      </w:r>
      <w:r>
        <w:rPr/>
        <w:t>o de la Ley de la respectiva Comunidad Autónoma que le sea de aplicación, en particular respecto de los deberes de visita y exposición pública de dichos bienes.</w:t>
      </w:r>
    </w:p>
    <w:p>
      <w:pPr>
        <w:pStyle w:val="BodyText"/>
        <w:spacing w:line="249" w:lineRule="auto" w:before="4"/>
        <w:ind w:right="1104"/>
      </w:pPr>
      <w:r>
        <w:rPr/>
        <w:t>Lo dispuesto en el primer párrafo de este número no resultará de aplicación a las entidades a que se refiere la letra e) del artículo anterior.</w:t>
      </w:r>
    </w:p>
    <w:p>
      <w:pPr>
        <w:pStyle w:val="ListParagraph"/>
        <w:numPr>
          <w:ilvl w:val="0"/>
          <w:numId w:val="2"/>
        </w:numPr>
        <w:tabs>
          <w:tab w:pos="761" w:val="left" w:leader="none"/>
        </w:tabs>
        <w:spacing w:line="249" w:lineRule="auto" w:before="1" w:after="0"/>
        <w:ind w:left="255" w:right="1103" w:firstLine="340"/>
        <w:jc w:val="both"/>
        <w:rPr>
          <w:sz w:val="20"/>
        </w:rPr>
      </w:pPr>
      <w:r>
        <w:rPr>
          <w:sz w:val="20"/>
        </w:rPr>
        <w:t>° Que los cargos de patrono, representante estatutario y miembro del órgano de gobierno sean gratuitos, sin perjuicio del derecho a ser reembolsados de los gastos debidamente justificados que el desempeño de su función les ocasione, sin que las cantidades percibidas por este concepto puedan exceder de los límites previstos en la normativa del Impuesto sobre la Renta de las Personas Físicas para ser consideradas dietas exceptuadas de gravamen.</w:t>
      </w:r>
    </w:p>
    <w:p>
      <w:pPr>
        <w:pStyle w:val="BodyText"/>
        <w:spacing w:line="249" w:lineRule="auto" w:before="5"/>
        <w:ind w:right="1103"/>
      </w:pPr>
      <w:r>
        <w:rPr/>
        <w:t>Lo dispuesto en el párrafo anterior no resultará de aplicación a las entidades a que se refiere la letra e) del artículo anterior y respetará el régimen específico establecido para aquellas asociaciones que, de acuerdo con la Ley Orgánica 1/2002, de 22 de marzo, reguladora del Derecho de Asociación, hayan sido declaradas de utilidad pública.</w:t>
      </w:r>
    </w:p>
    <w:p>
      <w:pPr>
        <w:pStyle w:val="BodyText"/>
        <w:spacing w:line="249" w:lineRule="auto" w:before="4"/>
        <w:ind w:right="1103"/>
      </w:pPr>
      <w:r>
        <w:rPr/>
        <w:t>No tendrán la consideración de remuneración de los cargos, los seguros de responsabilidad civil contratados por la entidad sin fines lucrativos en beneficio de los patronos, representantes estatutarios y miembros del órgano del gobierno, siempre que solo cubran riesgos derivados del desempeño de tales cargos en la entidad.</w:t>
      </w:r>
    </w:p>
    <w:p>
      <w:pPr>
        <w:pStyle w:val="BodyText"/>
        <w:spacing w:line="249" w:lineRule="auto" w:before="3"/>
        <w:ind w:right="1103"/>
      </w:pPr>
      <w:r>
        <w:rPr/>
        <w:t>Los patronos, representantes estatutarios y miembros del órgano de gobierno podrán percibir de la entidad retribuciones por la prestación de servicios, incluidos los prestados en el marco de una relación de carácter laboral, distintos de los que implica el desempeño de</w:t>
      </w:r>
      <w:r>
        <w:rPr>
          <w:spacing w:val="40"/>
        </w:rPr>
        <w:t> </w:t>
      </w:r>
      <w:r>
        <w:rPr/>
        <w:t>las funciones que les corresponden como miembros del Patronato u órgano de representación,</w:t>
      </w:r>
      <w:r>
        <w:rPr>
          <w:spacing w:val="-1"/>
        </w:rPr>
        <w:t> </w:t>
      </w:r>
      <w:r>
        <w:rPr/>
        <w:t>siempre</w:t>
      </w:r>
      <w:r>
        <w:rPr>
          <w:spacing w:val="-1"/>
        </w:rPr>
        <w:t> </w:t>
      </w:r>
      <w:r>
        <w:rPr/>
        <w:t>que</w:t>
      </w:r>
      <w:r>
        <w:rPr>
          <w:spacing w:val="-1"/>
        </w:rPr>
        <w:t> </w:t>
      </w:r>
      <w:r>
        <w:rPr/>
        <w:t>se</w:t>
      </w:r>
      <w:r>
        <w:rPr>
          <w:spacing w:val="-1"/>
        </w:rPr>
        <w:t> </w:t>
      </w:r>
      <w:r>
        <w:rPr/>
        <w:t>cumplan</w:t>
      </w:r>
      <w:r>
        <w:rPr>
          <w:spacing w:val="-1"/>
        </w:rPr>
        <w:t> </w:t>
      </w:r>
      <w:r>
        <w:rPr/>
        <w:t>las</w:t>
      </w:r>
      <w:r>
        <w:rPr>
          <w:spacing w:val="-1"/>
        </w:rPr>
        <w:t> </w:t>
      </w:r>
      <w:r>
        <w:rPr/>
        <w:t>condiciones</w:t>
      </w:r>
      <w:r>
        <w:rPr>
          <w:spacing w:val="-1"/>
        </w:rPr>
        <w:t> </w:t>
      </w:r>
      <w:r>
        <w:rPr/>
        <w:t>previstas</w:t>
      </w:r>
      <w:r>
        <w:rPr>
          <w:spacing w:val="-1"/>
        </w:rPr>
        <w:t> </w:t>
      </w:r>
      <w:r>
        <w:rPr/>
        <w:t>en</w:t>
      </w:r>
      <w:r>
        <w:rPr>
          <w:spacing w:val="-1"/>
        </w:rPr>
        <w:t> </w:t>
      </w:r>
      <w:r>
        <w:rPr/>
        <w:t>las</w:t>
      </w:r>
      <w:r>
        <w:rPr>
          <w:spacing w:val="-1"/>
        </w:rPr>
        <w:t> </w:t>
      </w:r>
      <w:r>
        <w:rPr/>
        <w:t>normas</w:t>
      </w:r>
      <w:r>
        <w:rPr>
          <w:spacing w:val="-1"/>
        </w:rPr>
        <w:t> </w:t>
      </w:r>
      <w:r>
        <w:rPr/>
        <w:t>por</w:t>
      </w:r>
      <w:r>
        <w:rPr>
          <w:spacing w:val="-1"/>
        </w:rPr>
        <w:t> </w:t>
      </w:r>
      <w:r>
        <w:rPr/>
        <w:t>las</w:t>
      </w:r>
      <w:r>
        <w:rPr>
          <w:spacing w:val="-1"/>
        </w:rPr>
        <w:t> </w:t>
      </w:r>
      <w:r>
        <w:rPr/>
        <w:t>que se rige la entidad. Tales personas no podrán participar en los resultados económicos de la entidad, ni por sí mismas, ni a través de persona o entidad interpuesta.</w:t>
      </w:r>
    </w:p>
    <w:p>
      <w:pPr>
        <w:pStyle w:val="BodyText"/>
        <w:spacing w:line="249" w:lineRule="auto" w:before="6"/>
        <w:ind w:right="1103"/>
      </w:pPr>
      <w:r>
        <w:rPr/>
        <w:t>Lo dispuesto en este número será de aplicación igualmente a los administradores que representen a la entidad en las sociedades mercantiles en que participe, salvo que las retribuciones percibidas por la condición de administrador se reintegren a la entidad que </w:t>
      </w:r>
      <w:r>
        <w:rPr>
          <w:spacing w:val="-2"/>
        </w:rPr>
        <w:t>representen.</w:t>
      </w:r>
    </w:p>
    <w:p>
      <w:pPr>
        <w:pStyle w:val="BodyText"/>
        <w:spacing w:line="249" w:lineRule="auto" w:before="3"/>
        <w:ind w:right="1104"/>
      </w:pPr>
      <w:r>
        <w:rPr/>
        <w:t>En este caso, la retribución percibida por el administrador estará exenta del Impuesto sobre la Renta de las Personas Físicas, y no existirá obligación de practicar retención a cuenta de este impuesto.</w:t>
      </w:r>
    </w:p>
    <w:p>
      <w:pPr>
        <w:pStyle w:val="ListParagraph"/>
        <w:numPr>
          <w:ilvl w:val="0"/>
          <w:numId w:val="2"/>
        </w:numPr>
        <w:tabs>
          <w:tab w:pos="761" w:val="left" w:leader="none"/>
        </w:tabs>
        <w:spacing w:line="249" w:lineRule="auto" w:before="2" w:after="0"/>
        <w:ind w:left="255" w:right="1103" w:firstLine="340"/>
        <w:jc w:val="both"/>
        <w:rPr>
          <w:sz w:val="20"/>
        </w:rPr>
      </w:pPr>
      <w:r>
        <w:rPr>
          <w:sz w:val="20"/>
        </w:rPr>
        <w:t>° Que, en caso de disolución, su patrimonio se destine en su totalidad a alguna de las entidades consideradas como entidades beneficiarias del mecenazgo a los efectos previstos en los artículos 16 a 25, ambos inclusive, de esta Ley, o a entidades públicas de naturaleza no</w:t>
      </w:r>
      <w:r>
        <w:rPr>
          <w:spacing w:val="-3"/>
          <w:sz w:val="20"/>
        </w:rPr>
        <w:t> </w:t>
      </w:r>
      <w:r>
        <w:rPr>
          <w:sz w:val="20"/>
        </w:rPr>
        <w:t>fundacional</w:t>
      </w:r>
      <w:r>
        <w:rPr>
          <w:spacing w:val="-3"/>
          <w:sz w:val="20"/>
        </w:rPr>
        <w:t> </w:t>
      </w:r>
      <w:r>
        <w:rPr>
          <w:sz w:val="20"/>
        </w:rPr>
        <w:t>que</w:t>
      </w:r>
      <w:r>
        <w:rPr>
          <w:spacing w:val="-3"/>
          <w:sz w:val="20"/>
        </w:rPr>
        <w:t> </w:t>
      </w:r>
      <w:r>
        <w:rPr>
          <w:sz w:val="20"/>
        </w:rPr>
        <w:t>persigan</w:t>
      </w:r>
      <w:r>
        <w:rPr>
          <w:spacing w:val="-3"/>
          <w:sz w:val="20"/>
        </w:rPr>
        <w:t> </w:t>
      </w:r>
      <w:r>
        <w:rPr>
          <w:sz w:val="20"/>
        </w:rPr>
        <w:t>fines</w:t>
      </w:r>
      <w:r>
        <w:rPr>
          <w:spacing w:val="-3"/>
          <w:sz w:val="20"/>
        </w:rPr>
        <w:t> </w:t>
      </w:r>
      <w:r>
        <w:rPr>
          <w:sz w:val="20"/>
        </w:rPr>
        <w:t>de</w:t>
      </w:r>
      <w:r>
        <w:rPr>
          <w:spacing w:val="-3"/>
          <w:sz w:val="20"/>
        </w:rPr>
        <w:t> </w:t>
      </w:r>
      <w:r>
        <w:rPr>
          <w:sz w:val="20"/>
        </w:rPr>
        <w:t>interés</w:t>
      </w:r>
      <w:r>
        <w:rPr>
          <w:spacing w:val="-3"/>
          <w:sz w:val="20"/>
        </w:rPr>
        <w:t> </w:t>
      </w:r>
      <w:r>
        <w:rPr>
          <w:sz w:val="20"/>
        </w:rPr>
        <w:t>general,</w:t>
      </w:r>
      <w:r>
        <w:rPr>
          <w:spacing w:val="-3"/>
          <w:sz w:val="20"/>
        </w:rPr>
        <w:t> </w:t>
      </w:r>
      <w:r>
        <w:rPr>
          <w:sz w:val="20"/>
        </w:rPr>
        <w:t>y</w:t>
      </w:r>
      <w:r>
        <w:rPr>
          <w:spacing w:val="-3"/>
          <w:sz w:val="20"/>
        </w:rPr>
        <w:t> </w:t>
      </w:r>
      <w:r>
        <w:rPr>
          <w:sz w:val="20"/>
        </w:rPr>
        <w:t>esta</w:t>
      </w:r>
      <w:r>
        <w:rPr>
          <w:spacing w:val="-3"/>
          <w:sz w:val="20"/>
        </w:rPr>
        <w:t> </w:t>
      </w:r>
      <w:r>
        <w:rPr>
          <w:sz w:val="20"/>
        </w:rPr>
        <w:t>circunstancia</w:t>
      </w:r>
      <w:r>
        <w:rPr>
          <w:spacing w:val="-3"/>
          <w:sz w:val="20"/>
        </w:rPr>
        <w:t> </w:t>
      </w:r>
      <w:r>
        <w:rPr>
          <w:sz w:val="20"/>
        </w:rPr>
        <w:t>esté</w:t>
      </w:r>
      <w:r>
        <w:rPr>
          <w:spacing w:val="-3"/>
          <w:sz w:val="20"/>
        </w:rPr>
        <w:t> </w:t>
      </w:r>
      <w:r>
        <w:rPr>
          <w:sz w:val="20"/>
        </w:rPr>
        <w:t>expresamente contemplada en el negocio fundacional o en los estatutos de la entidad disuelta, siendo aplicable a dichas entidades sin fines lucrativos lo dispuesto en la letra c) del apartado 1 del artículo 97 de la Ley 43/1995, de 27 de diciembre, del Impuesto sobre Sociedades.</w:t>
      </w:r>
    </w:p>
    <w:p>
      <w:pPr>
        <w:pStyle w:val="BodyText"/>
        <w:spacing w:line="249" w:lineRule="auto" w:before="6"/>
        <w:ind w:right="1104"/>
      </w:pPr>
      <w:r>
        <w:rPr/>
        <w:t>En ningún caso tendrán la condición de entidades sin fines lucrativos, a efectos de esta Ley, aquellas entidades cuyo régimen jurídico permita, en los supuestos de extinción, la reversión de su patrimonio al aportante del mismo o a sus herederos o legatarios, salvo que la reversión esté prevista en favor de alguna entidad beneficiaria del mecenazgo a los</w:t>
      </w:r>
      <w:r>
        <w:rPr>
          <w:spacing w:val="40"/>
        </w:rPr>
        <w:t> </w:t>
      </w:r>
      <w:r>
        <w:rPr/>
        <w:t>efectos previstos en los artículos 16 a 25, ambos inclusive, de esta Ley.</w:t>
      </w:r>
    </w:p>
    <w:p>
      <w:pPr>
        <w:pStyle w:val="ListParagraph"/>
        <w:numPr>
          <w:ilvl w:val="0"/>
          <w:numId w:val="2"/>
        </w:numPr>
        <w:tabs>
          <w:tab w:pos="761" w:val="left" w:leader="none"/>
        </w:tabs>
        <w:spacing w:line="240" w:lineRule="auto" w:before="4" w:after="0"/>
        <w:ind w:left="761" w:right="0" w:hanging="166"/>
        <w:jc w:val="both"/>
        <w:rPr>
          <w:sz w:val="20"/>
        </w:rPr>
      </w:pPr>
      <w:r>
        <w:rPr>
          <w:sz w:val="20"/>
        </w:rPr>
        <w:t>°</w:t>
      </w:r>
      <w:r>
        <w:rPr>
          <w:spacing w:val="-5"/>
          <w:sz w:val="20"/>
        </w:rPr>
        <w:t> </w:t>
      </w:r>
      <w:r>
        <w:rPr>
          <w:sz w:val="20"/>
        </w:rPr>
        <w:t>Que</w:t>
      </w:r>
      <w:r>
        <w:rPr>
          <w:spacing w:val="-2"/>
          <w:sz w:val="20"/>
        </w:rPr>
        <w:t> </w:t>
      </w:r>
      <w:r>
        <w:rPr>
          <w:sz w:val="20"/>
        </w:rPr>
        <w:t>estén</w:t>
      </w:r>
      <w:r>
        <w:rPr>
          <w:spacing w:val="-2"/>
          <w:sz w:val="20"/>
        </w:rPr>
        <w:t> </w:t>
      </w:r>
      <w:r>
        <w:rPr>
          <w:sz w:val="20"/>
        </w:rPr>
        <w:t>inscritas</w:t>
      </w:r>
      <w:r>
        <w:rPr>
          <w:spacing w:val="-2"/>
          <w:sz w:val="20"/>
        </w:rPr>
        <w:t> </w:t>
      </w:r>
      <w:r>
        <w:rPr>
          <w:sz w:val="20"/>
        </w:rPr>
        <w:t>en</w:t>
      </w:r>
      <w:r>
        <w:rPr>
          <w:spacing w:val="-2"/>
          <w:sz w:val="20"/>
        </w:rPr>
        <w:t> </w:t>
      </w:r>
      <w:r>
        <w:rPr>
          <w:sz w:val="20"/>
        </w:rPr>
        <w:t>el</w:t>
      </w:r>
      <w:r>
        <w:rPr>
          <w:spacing w:val="-2"/>
          <w:sz w:val="20"/>
        </w:rPr>
        <w:t> </w:t>
      </w:r>
      <w:r>
        <w:rPr>
          <w:sz w:val="20"/>
        </w:rPr>
        <w:t>registro</w:t>
      </w:r>
      <w:r>
        <w:rPr>
          <w:spacing w:val="-2"/>
          <w:sz w:val="20"/>
        </w:rPr>
        <w:t> correspondiente.</w:t>
      </w:r>
    </w:p>
    <w:p>
      <w:pPr>
        <w:pStyle w:val="ListParagraph"/>
        <w:numPr>
          <w:ilvl w:val="0"/>
          <w:numId w:val="2"/>
        </w:numPr>
        <w:tabs>
          <w:tab w:pos="761" w:val="left" w:leader="none"/>
        </w:tabs>
        <w:spacing w:line="249" w:lineRule="auto" w:before="10" w:after="0"/>
        <w:ind w:left="255" w:right="1103" w:firstLine="340"/>
        <w:jc w:val="both"/>
        <w:rPr>
          <w:sz w:val="20"/>
        </w:rPr>
      </w:pPr>
      <w:r>
        <w:rPr>
          <w:sz w:val="20"/>
        </w:rPr>
        <w:t>° Que cumplan las obligaciones contables previstas en las normas por las que se rigen o, en su defecto, en el Código de Comercio y disposiciones complementarias.</w:t>
      </w:r>
    </w:p>
    <w:p>
      <w:pPr>
        <w:pStyle w:val="ListParagraph"/>
        <w:numPr>
          <w:ilvl w:val="0"/>
          <w:numId w:val="2"/>
        </w:numPr>
        <w:tabs>
          <w:tab w:pos="761" w:val="left" w:leader="none"/>
        </w:tabs>
        <w:spacing w:line="249" w:lineRule="auto" w:before="2" w:after="0"/>
        <w:ind w:left="255" w:right="1104" w:firstLine="340"/>
        <w:jc w:val="both"/>
        <w:rPr>
          <w:sz w:val="20"/>
        </w:rPr>
      </w:pPr>
      <w:r>
        <w:rPr>
          <w:sz w:val="20"/>
        </w:rPr>
        <w:t>° Que cumplan las obligaciones de rendición de cuentas que establezca su legislación específica. En ausencia de previsión legal específica, deberán rendir cuentas antes de transcurridos</w:t>
      </w:r>
      <w:r>
        <w:rPr>
          <w:spacing w:val="-1"/>
          <w:sz w:val="20"/>
        </w:rPr>
        <w:t> </w:t>
      </w:r>
      <w:r>
        <w:rPr>
          <w:sz w:val="20"/>
        </w:rPr>
        <w:t>seis</w:t>
      </w:r>
      <w:r>
        <w:rPr>
          <w:spacing w:val="-1"/>
          <w:sz w:val="20"/>
        </w:rPr>
        <w:t> </w:t>
      </w:r>
      <w:r>
        <w:rPr>
          <w:sz w:val="20"/>
        </w:rPr>
        <w:t>meses</w:t>
      </w:r>
      <w:r>
        <w:rPr>
          <w:spacing w:val="-1"/>
          <w:sz w:val="20"/>
        </w:rPr>
        <w:t> </w:t>
      </w:r>
      <w:r>
        <w:rPr>
          <w:sz w:val="20"/>
        </w:rPr>
        <w:t>desde</w:t>
      </w:r>
      <w:r>
        <w:rPr>
          <w:spacing w:val="-1"/>
          <w:sz w:val="20"/>
        </w:rPr>
        <w:t> </w:t>
      </w:r>
      <w:r>
        <w:rPr>
          <w:sz w:val="20"/>
        </w:rPr>
        <w:t>el</w:t>
      </w:r>
      <w:r>
        <w:rPr>
          <w:spacing w:val="-1"/>
          <w:sz w:val="20"/>
        </w:rPr>
        <w:t> </w:t>
      </w:r>
      <w:r>
        <w:rPr>
          <w:sz w:val="20"/>
        </w:rPr>
        <w:t>cierre</w:t>
      </w:r>
      <w:r>
        <w:rPr>
          <w:spacing w:val="-1"/>
          <w:sz w:val="20"/>
        </w:rPr>
        <w:t> </w:t>
      </w:r>
      <w:r>
        <w:rPr>
          <w:sz w:val="20"/>
        </w:rPr>
        <w:t>de</w:t>
      </w:r>
      <w:r>
        <w:rPr>
          <w:spacing w:val="-1"/>
          <w:sz w:val="20"/>
        </w:rPr>
        <w:t> </w:t>
      </w:r>
      <w:r>
        <w:rPr>
          <w:sz w:val="20"/>
        </w:rPr>
        <w:t>su</w:t>
      </w:r>
      <w:r>
        <w:rPr>
          <w:spacing w:val="-1"/>
          <w:sz w:val="20"/>
        </w:rPr>
        <w:t> </w:t>
      </w:r>
      <w:r>
        <w:rPr>
          <w:sz w:val="20"/>
        </w:rPr>
        <w:t>ejercicio</w:t>
      </w:r>
      <w:r>
        <w:rPr>
          <w:spacing w:val="-1"/>
          <w:sz w:val="20"/>
        </w:rPr>
        <w:t> </w:t>
      </w:r>
      <w:r>
        <w:rPr>
          <w:sz w:val="20"/>
        </w:rPr>
        <w:t>ante</w:t>
      </w:r>
      <w:r>
        <w:rPr>
          <w:spacing w:val="-1"/>
          <w:sz w:val="20"/>
        </w:rPr>
        <w:t> </w:t>
      </w:r>
      <w:r>
        <w:rPr>
          <w:sz w:val="20"/>
        </w:rPr>
        <w:t>el</w:t>
      </w:r>
      <w:r>
        <w:rPr>
          <w:spacing w:val="-1"/>
          <w:sz w:val="20"/>
        </w:rPr>
        <w:t> </w:t>
      </w:r>
      <w:r>
        <w:rPr>
          <w:sz w:val="20"/>
        </w:rPr>
        <w:t>organismo</w:t>
      </w:r>
      <w:r>
        <w:rPr>
          <w:spacing w:val="-1"/>
          <w:sz w:val="20"/>
        </w:rPr>
        <w:t> </w:t>
      </w:r>
      <w:r>
        <w:rPr>
          <w:sz w:val="20"/>
        </w:rPr>
        <w:t>público</w:t>
      </w:r>
      <w:r>
        <w:rPr>
          <w:spacing w:val="-1"/>
          <w:sz w:val="20"/>
        </w:rPr>
        <w:t> </w:t>
      </w:r>
      <w:r>
        <w:rPr>
          <w:sz w:val="20"/>
        </w:rPr>
        <w:t>encargado del registro correspondiente.</w:t>
      </w:r>
    </w:p>
    <w:p>
      <w:pPr>
        <w:pStyle w:val="ListParagraph"/>
        <w:numPr>
          <w:ilvl w:val="0"/>
          <w:numId w:val="2"/>
        </w:numPr>
        <w:tabs>
          <w:tab w:pos="873" w:val="left" w:leader="none"/>
        </w:tabs>
        <w:spacing w:line="249" w:lineRule="auto" w:before="3" w:after="0"/>
        <w:ind w:left="255" w:right="1103" w:firstLine="340"/>
        <w:jc w:val="both"/>
        <w:rPr>
          <w:sz w:val="20"/>
        </w:rPr>
      </w:pPr>
      <w:r>
        <w:rPr>
          <w:sz w:val="20"/>
        </w:rPr>
        <w:t>° Que elaboren anualmente una memoria económica en la que se especifiquen los ingresos y gastos del ejercicio, de manera que puedan identificarse por categorías y por proyectos, así como el porcentaje de participación que mantengan en entidades mercantiles.</w:t>
      </w:r>
    </w:p>
    <w:p>
      <w:pPr>
        <w:pStyle w:val="ListParagraph"/>
        <w:spacing w:after="0" w:line="249" w:lineRule="auto"/>
        <w:jc w:val="both"/>
        <w:rPr>
          <w:sz w:val="20"/>
        </w:rPr>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right="1105"/>
      </w:pPr>
      <w:r>
        <w:rPr/>
        <w:t>Las entidades que estén obligadas en virtud de la normativa contable que les sea de aplicación a la elaboración anual de una memoria deberán incluir en dicha memoria la información a que se refiere este número.</w:t>
      </w:r>
    </w:p>
    <w:p>
      <w:pPr>
        <w:pStyle w:val="BodyText"/>
        <w:spacing w:line="249" w:lineRule="auto"/>
        <w:ind w:right="1104"/>
      </w:pPr>
      <w:r>
        <w:rPr/>
        <w:t>Reglamentariamente, se establecerán el contenido de esta memoria económica, su</w:t>
      </w:r>
      <w:r>
        <w:rPr>
          <w:spacing w:val="80"/>
        </w:rPr>
        <w:t> </w:t>
      </w:r>
      <w:r>
        <w:rPr/>
        <w:t>plazo de presentación y el órgano ante el que debe presentarse.</w:t>
      </w:r>
    </w:p>
    <w:p>
      <w:pPr>
        <w:spacing w:before="229"/>
        <w:ind w:left="255" w:right="0" w:firstLine="0"/>
        <w:jc w:val="left"/>
        <w:rPr>
          <w:i/>
          <w:sz w:val="20"/>
        </w:rPr>
      </w:pPr>
      <w:bookmarkStart w:name="Artículo 4. Domicilio fiscal." w:id="16"/>
      <w:bookmarkEnd w:id="16"/>
      <w:r>
        <w:rPr/>
      </w:r>
      <w:bookmarkStart w:name="_bookmark7" w:id="17"/>
      <w:bookmarkEnd w:id="17"/>
      <w:r>
        <w:rPr/>
      </w:r>
      <w:r>
        <w:rPr>
          <w:b/>
          <w:sz w:val="20"/>
        </w:rPr>
        <w:t>Artículo</w:t>
      </w:r>
      <w:r>
        <w:rPr>
          <w:b/>
          <w:spacing w:val="-3"/>
          <w:sz w:val="20"/>
        </w:rPr>
        <w:t> </w:t>
      </w:r>
      <w:r>
        <w:rPr>
          <w:b/>
          <w:sz w:val="20"/>
        </w:rPr>
        <w:t>4.</w:t>
      </w:r>
      <w:r>
        <w:rPr>
          <w:b/>
          <w:spacing w:val="51"/>
          <w:sz w:val="20"/>
        </w:rPr>
        <w:t> </w:t>
      </w:r>
      <w:r>
        <w:rPr>
          <w:i/>
          <w:sz w:val="20"/>
        </w:rPr>
        <w:t>Domicilio</w:t>
      </w:r>
      <w:r>
        <w:rPr>
          <w:i/>
          <w:spacing w:val="-2"/>
          <w:sz w:val="20"/>
        </w:rPr>
        <w:t> fiscal.</w:t>
      </w:r>
    </w:p>
    <w:p>
      <w:pPr>
        <w:pStyle w:val="BodyText"/>
        <w:spacing w:line="249" w:lineRule="auto" w:before="123"/>
        <w:ind w:right="1103"/>
      </w:pPr>
      <w:r>
        <w:rPr/>
        <w:t>El domicilio fiscal de las entidades sin fines lucrativos será el del lugar de su domicilio estatutario, siempre que en él esté efectivamente centralizada la gestión administrativa y dirección de la entidad. En otro caso, dicho domicilio será el lugar en que se realice dicha gestión y dirección.</w:t>
      </w:r>
    </w:p>
    <w:p>
      <w:pPr>
        <w:pStyle w:val="BodyText"/>
        <w:spacing w:line="249" w:lineRule="auto" w:before="3"/>
        <w:ind w:right="1105"/>
      </w:pPr>
      <w:r>
        <w:rPr/>
        <w:t>Si no pudiera establecerse el lugar del domicilio fiscal de acuerdo con los criterios anteriores, se considerará como tal el lugar donde radique el mayor valor del inmovilizado.</w:t>
      </w:r>
    </w:p>
    <w:p>
      <w:pPr>
        <w:pStyle w:val="BodyText"/>
        <w:spacing w:before="112"/>
        <w:ind w:left="0" w:firstLine="0"/>
        <w:jc w:val="left"/>
      </w:pPr>
    </w:p>
    <w:p>
      <w:pPr>
        <w:pStyle w:val="BodyText"/>
        <w:spacing w:before="0"/>
        <w:ind w:left="1863" w:right="2712" w:firstLine="0"/>
        <w:jc w:val="center"/>
      </w:pPr>
      <w:bookmarkStart w:name="CAPÍTULO II. Impuesto sobre Sociedades e" w:id="18"/>
      <w:bookmarkEnd w:id="18"/>
      <w:r>
        <w:rPr/>
      </w:r>
      <w:bookmarkStart w:name="_bookmark8" w:id="19"/>
      <w:bookmarkEnd w:id="19"/>
      <w:r>
        <w:rPr/>
      </w:r>
      <w:r>
        <w:rPr/>
        <w:t>CAPÍTULO </w:t>
      </w:r>
      <w:r>
        <w:rPr>
          <w:spacing w:val="-5"/>
        </w:rPr>
        <w:t>II</w:t>
      </w:r>
    </w:p>
    <w:p>
      <w:pPr>
        <w:pStyle w:val="Heading2"/>
        <w:ind w:left="0" w:right="849"/>
      </w:pPr>
      <w:r>
        <w:rPr/>
        <w:t>Impuesto</w:t>
      </w:r>
      <w:r>
        <w:rPr>
          <w:spacing w:val="-3"/>
        </w:rPr>
        <w:t> </w:t>
      </w:r>
      <w:r>
        <w:rPr/>
        <w:t>sobre</w:t>
      </w:r>
      <w:r>
        <w:rPr>
          <w:spacing w:val="-2"/>
        </w:rPr>
        <w:t> </w:t>
      </w:r>
      <w:r>
        <w:rPr/>
        <w:t>Sociedades</w:t>
      </w:r>
      <w:r>
        <w:rPr>
          <w:spacing w:val="-2"/>
        </w:rPr>
        <w:t> </w:t>
      </w:r>
      <w:r>
        <w:rPr/>
        <w:t>e</w:t>
      </w:r>
      <w:r>
        <w:rPr>
          <w:spacing w:val="-3"/>
        </w:rPr>
        <w:t> </w:t>
      </w:r>
      <w:r>
        <w:rPr/>
        <w:t>Impuesto</w:t>
      </w:r>
      <w:r>
        <w:rPr>
          <w:spacing w:val="-2"/>
        </w:rPr>
        <w:t> </w:t>
      </w:r>
      <w:r>
        <w:rPr/>
        <w:t>sobre</w:t>
      </w:r>
      <w:r>
        <w:rPr>
          <w:spacing w:val="-2"/>
        </w:rPr>
        <w:t> </w:t>
      </w:r>
      <w:r>
        <w:rPr/>
        <w:t>la</w:t>
      </w:r>
      <w:r>
        <w:rPr>
          <w:spacing w:val="-3"/>
        </w:rPr>
        <w:t> </w:t>
      </w:r>
      <w:r>
        <w:rPr/>
        <w:t>Renta</w:t>
      </w:r>
      <w:r>
        <w:rPr>
          <w:spacing w:val="-2"/>
        </w:rPr>
        <w:t> </w:t>
      </w:r>
      <w:r>
        <w:rPr/>
        <w:t>de</w:t>
      </w:r>
      <w:r>
        <w:rPr>
          <w:spacing w:val="-2"/>
        </w:rPr>
        <w:t> </w:t>
      </w:r>
      <w:r>
        <w:rPr/>
        <w:t>no</w:t>
      </w:r>
      <w:r>
        <w:rPr>
          <w:spacing w:val="-2"/>
        </w:rPr>
        <w:t> Residentes</w:t>
      </w:r>
    </w:p>
    <w:p>
      <w:pPr>
        <w:pStyle w:val="BodyText"/>
        <w:spacing w:before="7"/>
        <w:ind w:left="0" w:firstLine="0"/>
        <w:jc w:val="left"/>
        <w:rPr>
          <w:b/>
        </w:rPr>
      </w:pPr>
    </w:p>
    <w:p>
      <w:pPr>
        <w:spacing w:before="0"/>
        <w:ind w:left="255" w:right="0" w:firstLine="0"/>
        <w:jc w:val="left"/>
        <w:rPr>
          <w:i/>
          <w:sz w:val="20"/>
        </w:rPr>
      </w:pPr>
      <w:bookmarkStart w:name="Artículo 5. Normativa aplicable." w:id="20"/>
      <w:bookmarkEnd w:id="20"/>
      <w:r>
        <w:rPr/>
      </w:r>
      <w:bookmarkStart w:name="_bookmark9" w:id="21"/>
      <w:bookmarkEnd w:id="21"/>
      <w:r>
        <w:rPr/>
      </w:r>
      <w:r>
        <w:rPr>
          <w:b/>
          <w:sz w:val="20"/>
        </w:rPr>
        <w:t>Artículo</w:t>
      </w:r>
      <w:r>
        <w:rPr>
          <w:b/>
          <w:spacing w:val="-3"/>
          <w:sz w:val="20"/>
        </w:rPr>
        <w:t> </w:t>
      </w:r>
      <w:r>
        <w:rPr>
          <w:b/>
          <w:sz w:val="20"/>
        </w:rPr>
        <w:t>5.</w:t>
      </w:r>
      <w:r>
        <w:rPr>
          <w:b/>
          <w:spacing w:val="51"/>
          <w:sz w:val="20"/>
        </w:rPr>
        <w:t> </w:t>
      </w:r>
      <w:r>
        <w:rPr>
          <w:i/>
          <w:sz w:val="20"/>
        </w:rPr>
        <w:t>Normativa</w:t>
      </w:r>
      <w:r>
        <w:rPr>
          <w:i/>
          <w:spacing w:val="-2"/>
          <w:sz w:val="20"/>
        </w:rPr>
        <w:t> aplicable.</w:t>
      </w:r>
    </w:p>
    <w:p>
      <w:pPr>
        <w:pStyle w:val="BodyText"/>
        <w:spacing w:line="249" w:lineRule="auto" w:before="124"/>
        <w:ind w:right="1105"/>
      </w:pPr>
      <w:r>
        <w:rPr/>
        <w:t>En lo no previsto en este capítulo, serán de aplicación a las entidades sin fines lucrativos las normas del Impuesto sobre Sociedades.</w:t>
      </w:r>
    </w:p>
    <w:p>
      <w:pPr>
        <w:pStyle w:val="BodyText"/>
        <w:spacing w:line="249" w:lineRule="auto" w:before="1"/>
        <w:ind w:right="1102"/>
      </w:pPr>
      <w:r>
        <w:rPr/>
        <w:t>No obstante, en el caso de entidades a que se refieren las letras f) y g) del artículo 2 de esta ley, se aplicará lo dispuesto en este capítulo y en el capítulo siguiente, entendiéndose hechas las referencias del Impuesto sobre Sociedades al Impuesto sobre la Renta de no Residentes. En lo no previsto en este capítulo, serán de aplicación las normas del Impuesto sobre la Renta de no Residentes.</w:t>
      </w:r>
    </w:p>
    <w:p>
      <w:pPr>
        <w:pStyle w:val="BodyText"/>
        <w:spacing w:before="1"/>
        <w:ind w:left="0" w:firstLine="0"/>
        <w:jc w:val="left"/>
      </w:pPr>
    </w:p>
    <w:p>
      <w:pPr>
        <w:spacing w:before="0"/>
        <w:ind w:left="255" w:right="0" w:firstLine="0"/>
        <w:jc w:val="left"/>
        <w:rPr>
          <w:i/>
          <w:sz w:val="20"/>
        </w:rPr>
      </w:pPr>
      <w:bookmarkStart w:name="Artículo 6. Rentas exentas." w:id="22"/>
      <w:bookmarkEnd w:id="22"/>
      <w:r>
        <w:rPr/>
      </w:r>
      <w:bookmarkStart w:name="_bookmark10" w:id="23"/>
      <w:bookmarkEnd w:id="23"/>
      <w:r>
        <w:rPr/>
      </w:r>
      <w:r>
        <w:rPr>
          <w:b/>
          <w:sz w:val="20"/>
        </w:rPr>
        <w:t>Artículo</w:t>
      </w:r>
      <w:r>
        <w:rPr>
          <w:b/>
          <w:spacing w:val="-2"/>
          <w:sz w:val="20"/>
        </w:rPr>
        <w:t> </w:t>
      </w:r>
      <w:r>
        <w:rPr>
          <w:b/>
          <w:sz w:val="20"/>
        </w:rPr>
        <w:t>6.</w:t>
      </w:r>
      <w:r>
        <w:rPr>
          <w:b/>
          <w:spacing w:val="54"/>
          <w:sz w:val="20"/>
        </w:rPr>
        <w:t> </w:t>
      </w:r>
      <w:r>
        <w:rPr>
          <w:i/>
          <w:sz w:val="20"/>
        </w:rPr>
        <w:t>Rentas </w:t>
      </w:r>
      <w:r>
        <w:rPr>
          <w:i/>
          <w:spacing w:val="-2"/>
          <w:sz w:val="20"/>
        </w:rPr>
        <w:t>exentas.</w:t>
      </w:r>
    </w:p>
    <w:p>
      <w:pPr>
        <w:pStyle w:val="BodyText"/>
        <w:spacing w:line="249" w:lineRule="auto" w:before="124"/>
        <w:ind w:right="1104"/>
      </w:pPr>
      <w:r>
        <w:rPr/>
        <w:t>Están exentas del Impuesto sobre Sociedades las siguientes rentas obtenidas por entidades sin fines lucrativos:</w:t>
      </w:r>
    </w:p>
    <w:p>
      <w:pPr>
        <w:pStyle w:val="ListParagraph"/>
        <w:numPr>
          <w:ilvl w:val="0"/>
          <w:numId w:val="3"/>
        </w:numPr>
        <w:tabs>
          <w:tab w:pos="759" w:val="left" w:leader="none"/>
        </w:tabs>
        <w:spacing w:line="240" w:lineRule="auto" w:before="121" w:after="0"/>
        <w:ind w:left="759" w:right="0" w:hanging="164"/>
        <w:jc w:val="left"/>
        <w:rPr>
          <w:sz w:val="20"/>
        </w:rPr>
      </w:pPr>
      <w:r>
        <w:rPr>
          <w:sz w:val="20"/>
        </w:rPr>
        <w:t>º</w:t>
      </w:r>
      <w:r>
        <w:rPr>
          <w:spacing w:val="-2"/>
          <w:sz w:val="20"/>
        </w:rPr>
        <w:t> </w:t>
      </w:r>
      <w:r>
        <w:rPr>
          <w:sz w:val="20"/>
        </w:rPr>
        <w:t>Las derivadas de los siguientes </w:t>
      </w:r>
      <w:r>
        <w:rPr>
          <w:spacing w:val="-2"/>
          <w:sz w:val="20"/>
        </w:rPr>
        <w:t>ingresos:</w:t>
      </w:r>
    </w:p>
    <w:p>
      <w:pPr>
        <w:pStyle w:val="ListParagraph"/>
        <w:numPr>
          <w:ilvl w:val="1"/>
          <w:numId w:val="3"/>
        </w:numPr>
        <w:tabs>
          <w:tab w:pos="882" w:val="left" w:leader="none"/>
        </w:tabs>
        <w:spacing w:line="249" w:lineRule="auto" w:before="130" w:after="0"/>
        <w:ind w:left="255" w:right="1103" w:firstLine="340"/>
        <w:jc w:val="both"/>
        <w:rPr>
          <w:sz w:val="20"/>
        </w:rPr>
      </w:pPr>
      <w:r>
        <w:rPr>
          <w:sz w:val="20"/>
        </w:rPr>
        <w:t>Los donativos y donaciones recibidos para colaborar en los fines de la entidad, incluidas las aportaciones o donaciones en concepto de dotación patrimonial, en el momento de su constitución o en un momento posterior, y las ayudas económicas recibidas en virtud de los convenios de colaboración empresarial regulados en el artículo 25 de esta Ley y en virtud de los contratos de patrocinio publicitario a que se refiere la Ley 34/1988, de 11 de noviembre, General de Publicidad.</w:t>
      </w:r>
    </w:p>
    <w:p>
      <w:pPr>
        <w:pStyle w:val="ListParagraph"/>
        <w:numPr>
          <w:ilvl w:val="1"/>
          <w:numId w:val="3"/>
        </w:numPr>
        <w:tabs>
          <w:tab w:pos="837" w:val="left" w:leader="none"/>
        </w:tabs>
        <w:spacing w:line="249" w:lineRule="auto" w:before="5" w:after="0"/>
        <w:ind w:left="255" w:right="1103" w:firstLine="340"/>
        <w:jc w:val="both"/>
        <w:rPr>
          <w:sz w:val="20"/>
        </w:rPr>
      </w:pPr>
      <w:r>
        <w:rPr>
          <w:sz w:val="20"/>
        </w:rPr>
        <w:t>Las cuotas satisfechas por los asociados, colaboradores o benefactores, siempre que no se correspondan con el derecho a percibir una prestación derivada de una explotación económica no exenta.</w:t>
      </w:r>
    </w:p>
    <w:p>
      <w:pPr>
        <w:pStyle w:val="ListParagraph"/>
        <w:numPr>
          <w:ilvl w:val="1"/>
          <w:numId w:val="3"/>
        </w:numPr>
        <w:tabs>
          <w:tab w:pos="856" w:val="left" w:leader="none"/>
        </w:tabs>
        <w:spacing w:line="249" w:lineRule="auto" w:before="3" w:after="0"/>
        <w:ind w:left="255" w:right="1103" w:firstLine="340"/>
        <w:jc w:val="both"/>
        <w:rPr>
          <w:sz w:val="20"/>
        </w:rPr>
      </w:pPr>
      <w:r>
        <w:rPr>
          <w:sz w:val="20"/>
        </w:rPr>
        <w:t>Las subvenciones, salvo las destinadas a financiar la realización de explotaciones económicas no exentas.</w:t>
      </w:r>
    </w:p>
    <w:p>
      <w:pPr>
        <w:pStyle w:val="ListParagraph"/>
        <w:numPr>
          <w:ilvl w:val="0"/>
          <w:numId w:val="3"/>
        </w:numPr>
        <w:tabs>
          <w:tab w:pos="759" w:val="left" w:leader="none"/>
        </w:tabs>
        <w:spacing w:line="249" w:lineRule="auto" w:before="121" w:after="0"/>
        <w:ind w:left="255" w:right="1104" w:firstLine="340"/>
        <w:jc w:val="both"/>
        <w:rPr>
          <w:sz w:val="20"/>
        </w:rPr>
      </w:pPr>
      <w:r>
        <w:rPr>
          <w:sz w:val="20"/>
        </w:rPr>
        <w:t>º Las procedentes del patrimonio mobiliario e inmobiliario de la entidad, como son los dividendos y participaciones en beneficios de sociedades, intereses, cánones y alquileres.</w:t>
      </w:r>
    </w:p>
    <w:p>
      <w:pPr>
        <w:pStyle w:val="ListParagraph"/>
        <w:numPr>
          <w:ilvl w:val="0"/>
          <w:numId w:val="3"/>
        </w:numPr>
        <w:tabs>
          <w:tab w:pos="759" w:val="left" w:leader="none"/>
        </w:tabs>
        <w:spacing w:line="249" w:lineRule="auto" w:before="2" w:after="0"/>
        <w:ind w:left="255" w:right="1102" w:firstLine="340"/>
        <w:jc w:val="both"/>
        <w:rPr>
          <w:sz w:val="20"/>
        </w:rPr>
      </w:pPr>
      <w:r>
        <w:rPr>
          <w:sz w:val="20"/>
        </w:rPr>
        <w:t>º Las derivadas de adquisiciones o de transmisiones, por cualquier título, de bienes o derechos, incluidas las obtenidas con ocasión de la disolución y liquidación de la entidad.</w:t>
      </w:r>
    </w:p>
    <w:p>
      <w:pPr>
        <w:pStyle w:val="ListParagraph"/>
        <w:numPr>
          <w:ilvl w:val="0"/>
          <w:numId w:val="3"/>
        </w:numPr>
        <w:tabs>
          <w:tab w:pos="759" w:val="left" w:leader="none"/>
        </w:tabs>
        <w:spacing w:line="249" w:lineRule="auto" w:before="2" w:after="0"/>
        <w:ind w:left="255" w:right="1104" w:firstLine="340"/>
        <w:jc w:val="both"/>
        <w:rPr>
          <w:sz w:val="20"/>
        </w:rPr>
      </w:pPr>
      <w:r>
        <w:rPr>
          <w:sz w:val="20"/>
        </w:rPr>
        <w:t>º Las obtenidas en el ejercicio de las explotaciones económicas exentas a que se refiere el artículo siguiente.</w:t>
      </w:r>
    </w:p>
    <w:p>
      <w:pPr>
        <w:pStyle w:val="ListParagraph"/>
        <w:numPr>
          <w:ilvl w:val="0"/>
          <w:numId w:val="3"/>
        </w:numPr>
        <w:tabs>
          <w:tab w:pos="759" w:val="left" w:leader="none"/>
        </w:tabs>
        <w:spacing w:line="249" w:lineRule="auto" w:before="1" w:after="0"/>
        <w:ind w:left="255" w:right="1103" w:firstLine="340"/>
        <w:jc w:val="both"/>
        <w:rPr>
          <w:sz w:val="20"/>
        </w:rPr>
      </w:pPr>
      <w:r>
        <w:rPr>
          <w:sz w:val="20"/>
        </w:rPr>
        <w:t>º Las que, de acuerdo con la normativa tributaria, deban ser atribuidas o imputadas a las entidades sin fines lucrativos y que procedan de rentas exentas incluidas en alguno de</w:t>
      </w:r>
      <w:r>
        <w:rPr>
          <w:spacing w:val="40"/>
          <w:sz w:val="20"/>
        </w:rPr>
        <w:t> </w:t>
      </w:r>
      <w:r>
        <w:rPr>
          <w:sz w:val="20"/>
        </w:rPr>
        <w:t>los apartados anteriores de este artículo.</w:t>
      </w:r>
    </w:p>
    <w:p>
      <w:pPr>
        <w:pStyle w:val="ListParagraph"/>
        <w:spacing w:after="0" w:line="249" w:lineRule="auto"/>
        <w:jc w:val="both"/>
        <w:rPr>
          <w:sz w:val="20"/>
        </w:rPr>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spacing w:before="1"/>
        <w:ind w:left="255" w:right="0" w:firstLine="0"/>
        <w:jc w:val="left"/>
        <w:rPr>
          <w:i/>
          <w:sz w:val="20"/>
        </w:rPr>
      </w:pPr>
      <w:bookmarkStart w:name="Artículo 7. Explotaciones económicas exe" w:id="24"/>
      <w:bookmarkEnd w:id="24"/>
      <w:r>
        <w:rPr/>
      </w:r>
      <w:bookmarkStart w:name="_bookmark11" w:id="25"/>
      <w:bookmarkEnd w:id="25"/>
      <w:r>
        <w:rPr/>
      </w:r>
      <w:r>
        <w:rPr>
          <w:b/>
          <w:sz w:val="20"/>
        </w:rPr>
        <w:t>Artículo 7.</w:t>
      </w:r>
      <w:r>
        <w:rPr>
          <w:b/>
          <w:spacing w:val="54"/>
          <w:sz w:val="20"/>
        </w:rPr>
        <w:t> </w:t>
      </w:r>
      <w:r>
        <w:rPr>
          <w:i/>
          <w:sz w:val="20"/>
        </w:rPr>
        <w:t>Explotaciones económicas </w:t>
      </w:r>
      <w:r>
        <w:rPr>
          <w:i/>
          <w:spacing w:val="-2"/>
          <w:sz w:val="20"/>
        </w:rPr>
        <w:t>exentas.</w:t>
      </w:r>
    </w:p>
    <w:p>
      <w:pPr>
        <w:pStyle w:val="BodyText"/>
        <w:spacing w:line="249" w:lineRule="auto" w:before="123"/>
        <w:ind w:right="1103"/>
      </w:pPr>
      <w:r>
        <w:rPr/>
        <w:t>Están exentas del Impuesto sobre Sociedades las rentas obtenidas por entidades sin fines lucrativos que procedan de las siguientes explotaciones económicas, siempre y cuando sean desarrolladas en cumplimiento de su objeto o finalidad específica:</w:t>
      </w:r>
    </w:p>
    <w:p>
      <w:pPr>
        <w:pStyle w:val="ListParagraph"/>
        <w:numPr>
          <w:ilvl w:val="0"/>
          <w:numId w:val="4"/>
        </w:numPr>
        <w:tabs>
          <w:tab w:pos="761" w:val="left" w:leader="none"/>
        </w:tabs>
        <w:spacing w:line="249" w:lineRule="auto" w:before="123" w:after="0"/>
        <w:ind w:left="255" w:right="1103" w:firstLine="340"/>
        <w:jc w:val="both"/>
        <w:rPr>
          <w:sz w:val="20"/>
        </w:rPr>
      </w:pPr>
      <w:r>
        <w:rPr>
          <w:sz w:val="20"/>
        </w:rPr>
        <w:t>° Las explotaciones económicas de prestación de servicios de promoción y gestión de la acción social, así como los de asistencia social e inclusión social que se indican a continuación,</w:t>
      </w:r>
      <w:r>
        <w:rPr>
          <w:spacing w:val="-2"/>
          <w:sz w:val="20"/>
        </w:rPr>
        <w:t> </w:t>
      </w:r>
      <w:r>
        <w:rPr>
          <w:sz w:val="20"/>
        </w:rPr>
        <w:t>incluyendo</w:t>
      </w:r>
      <w:r>
        <w:rPr>
          <w:spacing w:val="-2"/>
          <w:sz w:val="20"/>
        </w:rPr>
        <w:t> </w:t>
      </w:r>
      <w:r>
        <w:rPr>
          <w:sz w:val="20"/>
        </w:rPr>
        <w:t>las</w:t>
      </w:r>
      <w:r>
        <w:rPr>
          <w:spacing w:val="-2"/>
          <w:sz w:val="20"/>
        </w:rPr>
        <w:t> </w:t>
      </w:r>
      <w:r>
        <w:rPr>
          <w:sz w:val="20"/>
        </w:rPr>
        <w:t>actividades</w:t>
      </w:r>
      <w:r>
        <w:rPr>
          <w:spacing w:val="-2"/>
          <w:sz w:val="20"/>
        </w:rPr>
        <w:t> </w:t>
      </w:r>
      <w:r>
        <w:rPr>
          <w:sz w:val="20"/>
        </w:rPr>
        <w:t>auxiliares</w:t>
      </w:r>
      <w:r>
        <w:rPr>
          <w:spacing w:val="-2"/>
          <w:sz w:val="20"/>
        </w:rPr>
        <w:t> </w:t>
      </w:r>
      <w:r>
        <w:rPr>
          <w:sz w:val="20"/>
        </w:rPr>
        <w:t>o</w:t>
      </w:r>
      <w:r>
        <w:rPr>
          <w:spacing w:val="-2"/>
          <w:sz w:val="20"/>
        </w:rPr>
        <w:t> </w:t>
      </w:r>
      <w:r>
        <w:rPr>
          <w:sz w:val="20"/>
        </w:rPr>
        <w:t>complementarias</w:t>
      </w:r>
      <w:r>
        <w:rPr>
          <w:spacing w:val="-2"/>
          <w:sz w:val="20"/>
        </w:rPr>
        <w:t> </w:t>
      </w:r>
      <w:r>
        <w:rPr>
          <w:sz w:val="20"/>
        </w:rPr>
        <w:t>de</w:t>
      </w:r>
      <w:r>
        <w:rPr>
          <w:spacing w:val="-2"/>
          <w:sz w:val="20"/>
        </w:rPr>
        <w:t> </w:t>
      </w:r>
      <w:r>
        <w:rPr>
          <w:sz w:val="20"/>
        </w:rPr>
        <w:t>aquellos,</w:t>
      </w:r>
      <w:r>
        <w:rPr>
          <w:spacing w:val="-2"/>
          <w:sz w:val="20"/>
        </w:rPr>
        <w:t> </w:t>
      </w:r>
      <w:r>
        <w:rPr>
          <w:sz w:val="20"/>
        </w:rPr>
        <w:t>como</w:t>
      </w:r>
      <w:r>
        <w:rPr>
          <w:spacing w:val="-2"/>
          <w:sz w:val="20"/>
        </w:rPr>
        <w:t> </w:t>
      </w:r>
      <w:r>
        <w:rPr>
          <w:sz w:val="20"/>
        </w:rPr>
        <w:t>son los servicios accesorios de alimentación, alojamiento o transporte:</w:t>
      </w:r>
    </w:p>
    <w:p>
      <w:pPr>
        <w:pStyle w:val="ListParagraph"/>
        <w:numPr>
          <w:ilvl w:val="1"/>
          <w:numId w:val="4"/>
        </w:numPr>
        <w:tabs>
          <w:tab w:pos="828" w:val="left" w:leader="none"/>
        </w:tabs>
        <w:spacing w:line="240" w:lineRule="auto" w:before="123" w:after="0"/>
        <w:ind w:left="828" w:right="0" w:hanging="233"/>
        <w:jc w:val="both"/>
        <w:rPr>
          <w:sz w:val="20"/>
        </w:rPr>
      </w:pPr>
      <w:r>
        <w:rPr>
          <w:sz w:val="20"/>
        </w:rPr>
        <w:t>Protección</w:t>
      </w:r>
      <w:r>
        <w:rPr>
          <w:spacing w:val="-3"/>
          <w:sz w:val="20"/>
        </w:rPr>
        <w:t> </w:t>
      </w:r>
      <w:r>
        <w:rPr>
          <w:sz w:val="20"/>
        </w:rPr>
        <w:t>de</w:t>
      </w:r>
      <w:r>
        <w:rPr>
          <w:spacing w:val="-3"/>
          <w:sz w:val="20"/>
        </w:rPr>
        <w:t> </w:t>
      </w:r>
      <w:r>
        <w:rPr>
          <w:sz w:val="20"/>
        </w:rPr>
        <w:t>la</w:t>
      </w:r>
      <w:r>
        <w:rPr>
          <w:spacing w:val="-3"/>
          <w:sz w:val="20"/>
        </w:rPr>
        <w:t> </w:t>
      </w:r>
      <w:r>
        <w:rPr>
          <w:sz w:val="20"/>
        </w:rPr>
        <w:t>infancia</w:t>
      </w:r>
      <w:r>
        <w:rPr>
          <w:spacing w:val="-3"/>
          <w:sz w:val="20"/>
        </w:rPr>
        <w:t> </w:t>
      </w:r>
      <w:r>
        <w:rPr>
          <w:sz w:val="20"/>
        </w:rPr>
        <w:t>y</w:t>
      </w:r>
      <w:r>
        <w:rPr>
          <w:spacing w:val="-3"/>
          <w:sz w:val="20"/>
        </w:rPr>
        <w:t> </w:t>
      </w:r>
      <w:r>
        <w:rPr>
          <w:sz w:val="20"/>
        </w:rPr>
        <w:t>de</w:t>
      </w:r>
      <w:r>
        <w:rPr>
          <w:spacing w:val="-3"/>
          <w:sz w:val="20"/>
        </w:rPr>
        <w:t> </w:t>
      </w:r>
      <w:r>
        <w:rPr>
          <w:sz w:val="20"/>
        </w:rPr>
        <w:t>la</w:t>
      </w:r>
      <w:r>
        <w:rPr>
          <w:spacing w:val="-2"/>
          <w:sz w:val="20"/>
        </w:rPr>
        <w:t> juventud.</w:t>
      </w:r>
    </w:p>
    <w:p>
      <w:pPr>
        <w:pStyle w:val="ListParagraph"/>
        <w:numPr>
          <w:ilvl w:val="1"/>
          <w:numId w:val="4"/>
        </w:numPr>
        <w:tabs>
          <w:tab w:pos="828" w:val="left" w:leader="none"/>
        </w:tabs>
        <w:spacing w:line="240" w:lineRule="auto" w:before="10" w:after="0"/>
        <w:ind w:left="828" w:right="0" w:hanging="233"/>
        <w:jc w:val="both"/>
        <w:rPr>
          <w:sz w:val="20"/>
        </w:rPr>
      </w:pPr>
      <w:r>
        <w:rPr>
          <w:sz w:val="20"/>
        </w:rPr>
        <w:t>Asistencia</w:t>
      </w:r>
      <w:r>
        <w:rPr>
          <w:spacing w:val="-4"/>
          <w:sz w:val="20"/>
        </w:rPr>
        <w:t> </w:t>
      </w:r>
      <w:r>
        <w:rPr>
          <w:sz w:val="20"/>
        </w:rPr>
        <w:t>a</w:t>
      </w:r>
      <w:r>
        <w:rPr>
          <w:spacing w:val="-4"/>
          <w:sz w:val="20"/>
        </w:rPr>
        <w:t> </w:t>
      </w:r>
      <w:r>
        <w:rPr>
          <w:sz w:val="20"/>
        </w:rPr>
        <w:t>la</w:t>
      </w:r>
      <w:r>
        <w:rPr>
          <w:spacing w:val="-4"/>
          <w:sz w:val="20"/>
        </w:rPr>
        <w:t> </w:t>
      </w:r>
      <w:r>
        <w:rPr>
          <w:sz w:val="20"/>
        </w:rPr>
        <w:t>tercera</w:t>
      </w:r>
      <w:r>
        <w:rPr>
          <w:spacing w:val="-4"/>
          <w:sz w:val="20"/>
        </w:rPr>
        <w:t> </w:t>
      </w:r>
      <w:r>
        <w:rPr>
          <w:spacing w:val="-2"/>
          <w:sz w:val="20"/>
        </w:rPr>
        <w:t>edad.</w:t>
      </w:r>
    </w:p>
    <w:p>
      <w:pPr>
        <w:pStyle w:val="ListParagraph"/>
        <w:numPr>
          <w:ilvl w:val="1"/>
          <w:numId w:val="4"/>
        </w:numPr>
        <w:tabs>
          <w:tab w:pos="839" w:val="left" w:leader="none"/>
        </w:tabs>
        <w:spacing w:line="249" w:lineRule="auto" w:before="10" w:after="0"/>
        <w:ind w:left="255" w:right="1105" w:firstLine="340"/>
        <w:jc w:val="both"/>
        <w:rPr>
          <w:sz w:val="20"/>
        </w:rPr>
      </w:pPr>
      <w:r>
        <w:rPr>
          <w:sz w:val="20"/>
        </w:rPr>
        <w:t>Asistencia a personas en riesgo de exclusión o dificultad social o víctimas de malos </w:t>
      </w:r>
      <w:r>
        <w:rPr>
          <w:spacing w:val="-2"/>
          <w:sz w:val="20"/>
        </w:rPr>
        <w:t>tratos.</w:t>
      </w:r>
    </w:p>
    <w:p>
      <w:pPr>
        <w:pStyle w:val="ListParagraph"/>
        <w:numPr>
          <w:ilvl w:val="1"/>
          <w:numId w:val="4"/>
        </w:numPr>
        <w:tabs>
          <w:tab w:pos="909" w:val="left" w:leader="none"/>
        </w:tabs>
        <w:spacing w:line="249" w:lineRule="auto" w:before="1" w:after="0"/>
        <w:ind w:left="255" w:right="1103" w:firstLine="340"/>
        <w:jc w:val="both"/>
        <w:rPr>
          <w:sz w:val="20"/>
        </w:rPr>
      </w:pPr>
      <w:r>
        <w:rPr>
          <w:sz w:val="20"/>
        </w:rPr>
        <w:t>Asistencia a personas con discapacidad, incluida la formación ocupacional, la inserción laboral y la explotación de granjas, talleres y centros especiales en los que desarrollen su trabajo.</w:t>
      </w:r>
    </w:p>
    <w:p>
      <w:pPr>
        <w:pStyle w:val="ListParagraph"/>
        <w:numPr>
          <w:ilvl w:val="1"/>
          <w:numId w:val="4"/>
        </w:numPr>
        <w:tabs>
          <w:tab w:pos="828" w:val="left" w:leader="none"/>
        </w:tabs>
        <w:spacing w:line="240" w:lineRule="auto" w:before="3" w:after="0"/>
        <w:ind w:left="828" w:right="0" w:hanging="233"/>
        <w:jc w:val="left"/>
        <w:rPr>
          <w:sz w:val="20"/>
        </w:rPr>
      </w:pPr>
      <w:r>
        <w:rPr>
          <w:sz w:val="20"/>
        </w:rPr>
        <w:t>Asistencia</w:t>
      </w:r>
      <w:r>
        <w:rPr>
          <w:spacing w:val="-3"/>
          <w:sz w:val="20"/>
        </w:rPr>
        <w:t> </w:t>
      </w:r>
      <w:r>
        <w:rPr>
          <w:sz w:val="20"/>
        </w:rPr>
        <w:t>a</w:t>
      </w:r>
      <w:r>
        <w:rPr>
          <w:spacing w:val="-3"/>
          <w:sz w:val="20"/>
        </w:rPr>
        <w:t> </w:t>
      </w:r>
      <w:r>
        <w:rPr>
          <w:sz w:val="20"/>
        </w:rPr>
        <w:t>minorías</w:t>
      </w:r>
      <w:r>
        <w:rPr>
          <w:spacing w:val="-3"/>
          <w:sz w:val="20"/>
        </w:rPr>
        <w:t> </w:t>
      </w:r>
      <w:r>
        <w:rPr>
          <w:spacing w:val="-2"/>
          <w:sz w:val="20"/>
        </w:rPr>
        <w:t>étnicas.</w:t>
      </w:r>
    </w:p>
    <w:p>
      <w:pPr>
        <w:pStyle w:val="ListParagraph"/>
        <w:numPr>
          <w:ilvl w:val="1"/>
          <w:numId w:val="4"/>
        </w:numPr>
        <w:tabs>
          <w:tab w:pos="772" w:val="left" w:leader="none"/>
        </w:tabs>
        <w:spacing w:line="240" w:lineRule="auto" w:before="10" w:after="0"/>
        <w:ind w:left="772" w:right="0" w:hanging="177"/>
        <w:jc w:val="left"/>
        <w:rPr>
          <w:sz w:val="20"/>
        </w:rPr>
      </w:pPr>
      <w:r>
        <w:rPr>
          <w:sz w:val="20"/>
        </w:rPr>
        <w:t>Asistencia</w:t>
      </w:r>
      <w:r>
        <w:rPr>
          <w:spacing w:val="-3"/>
          <w:sz w:val="20"/>
        </w:rPr>
        <w:t> </w:t>
      </w:r>
      <w:r>
        <w:rPr>
          <w:sz w:val="20"/>
        </w:rPr>
        <w:t>a</w:t>
      </w:r>
      <w:r>
        <w:rPr>
          <w:spacing w:val="-2"/>
          <w:sz w:val="20"/>
        </w:rPr>
        <w:t> </w:t>
      </w:r>
      <w:r>
        <w:rPr>
          <w:sz w:val="20"/>
        </w:rPr>
        <w:t>refugiados</w:t>
      </w:r>
      <w:r>
        <w:rPr>
          <w:spacing w:val="-2"/>
          <w:sz w:val="20"/>
        </w:rPr>
        <w:t> </w:t>
      </w:r>
      <w:r>
        <w:rPr>
          <w:sz w:val="20"/>
        </w:rPr>
        <w:t>y</w:t>
      </w:r>
      <w:r>
        <w:rPr>
          <w:spacing w:val="-2"/>
          <w:sz w:val="20"/>
        </w:rPr>
        <w:t> asilados.</w:t>
      </w:r>
    </w:p>
    <w:p>
      <w:pPr>
        <w:pStyle w:val="ListParagraph"/>
        <w:numPr>
          <w:ilvl w:val="1"/>
          <w:numId w:val="4"/>
        </w:numPr>
        <w:tabs>
          <w:tab w:pos="828" w:val="left" w:leader="none"/>
        </w:tabs>
        <w:spacing w:line="240" w:lineRule="auto" w:before="10" w:after="0"/>
        <w:ind w:left="828" w:right="0" w:hanging="233"/>
        <w:jc w:val="left"/>
        <w:rPr>
          <w:sz w:val="20"/>
        </w:rPr>
      </w:pPr>
      <w:r>
        <w:rPr>
          <w:sz w:val="20"/>
        </w:rPr>
        <w:t>Asistencia</w:t>
      </w:r>
      <w:r>
        <w:rPr>
          <w:spacing w:val="-2"/>
          <w:sz w:val="20"/>
        </w:rPr>
        <w:t> </w:t>
      </w:r>
      <w:r>
        <w:rPr>
          <w:sz w:val="20"/>
        </w:rPr>
        <w:t>a</w:t>
      </w:r>
      <w:r>
        <w:rPr>
          <w:spacing w:val="-2"/>
          <w:sz w:val="20"/>
        </w:rPr>
        <w:t> </w:t>
      </w:r>
      <w:r>
        <w:rPr>
          <w:sz w:val="20"/>
        </w:rPr>
        <w:t>emigrantes,</w:t>
      </w:r>
      <w:r>
        <w:rPr>
          <w:spacing w:val="-2"/>
          <w:sz w:val="20"/>
        </w:rPr>
        <w:t> </w:t>
      </w:r>
      <w:r>
        <w:rPr>
          <w:sz w:val="20"/>
        </w:rPr>
        <w:t>inmigrantes</w:t>
      </w:r>
      <w:r>
        <w:rPr>
          <w:spacing w:val="-2"/>
          <w:sz w:val="20"/>
        </w:rPr>
        <w:t> </w:t>
      </w:r>
      <w:r>
        <w:rPr>
          <w:sz w:val="20"/>
        </w:rPr>
        <w:t>y</w:t>
      </w:r>
      <w:r>
        <w:rPr>
          <w:spacing w:val="-1"/>
          <w:sz w:val="20"/>
        </w:rPr>
        <w:t> </w:t>
      </w:r>
      <w:r>
        <w:rPr>
          <w:spacing w:val="-2"/>
          <w:sz w:val="20"/>
        </w:rPr>
        <w:t>transeúntes.</w:t>
      </w:r>
    </w:p>
    <w:p>
      <w:pPr>
        <w:pStyle w:val="ListParagraph"/>
        <w:numPr>
          <w:ilvl w:val="1"/>
          <w:numId w:val="4"/>
        </w:numPr>
        <w:tabs>
          <w:tab w:pos="828" w:val="left" w:leader="none"/>
        </w:tabs>
        <w:spacing w:line="240" w:lineRule="auto" w:before="10" w:after="0"/>
        <w:ind w:left="828" w:right="0" w:hanging="233"/>
        <w:jc w:val="left"/>
        <w:rPr>
          <w:sz w:val="20"/>
        </w:rPr>
      </w:pPr>
      <w:r>
        <w:rPr>
          <w:sz w:val="20"/>
        </w:rPr>
        <w:t>Asistencia</w:t>
      </w:r>
      <w:r>
        <w:rPr>
          <w:spacing w:val="-2"/>
          <w:sz w:val="20"/>
        </w:rPr>
        <w:t> </w:t>
      </w:r>
      <w:r>
        <w:rPr>
          <w:sz w:val="20"/>
        </w:rPr>
        <w:t>a</w:t>
      </w:r>
      <w:r>
        <w:rPr>
          <w:spacing w:val="-2"/>
          <w:sz w:val="20"/>
        </w:rPr>
        <w:t> </w:t>
      </w:r>
      <w:r>
        <w:rPr>
          <w:sz w:val="20"/>
        </w:rPr>
        <w:t>personas</w:t>
      </w:r>
      <w:r>
        <w:rPr>
          <w:spacing w:val="-2"/>
          <w:sz w:val="20"/>
        </w:rPr>
        <w:t> </w:t>
      </w:r>
      <w:r>
        <w:rPr>
          <w:sz w:val="20"/>
        </w:rPr>
        <w:t>con</w:t>
      </w:r>
      <w:r>
        <w:rPr>
          <w:spacing w:val="-1"/>
          <w:sz w:val="20"/>
        </w:rPr>
        <w:t> </w:t>
      </w:r>
      <w:r>
        <w:rPr>
          <w:sz w:val="20"/>
        </w:rPr>
        <w:t>cargas</w:t>
      </w:r>
      <w:r>
        <w:rPr>
          <w:spacing w:val="-2"/>
          <w:sz w:val="20"/>
        </w:rPr>
        <w:t> </w:t>
      </w:r>
      <w:r>
        <w:rPr>
          <w:sz w:val="20"/>
        </w:rPr>
        <w:t>familiares</w:t>
      </w:r>
      <w:r>
        <w:rPr>
          <w:spacing w:val="-2"/>
          <w:sz w:val="20"/>
        </w:rPr>
        <w:t> </w:t>
      </w:r>
      <w:r>
        <w:rPr>
          <w:sz w:val="20"/>
        </w:rPr>
        <w:t>no</w:t>
      </w:r>
      <w:r>
        <w:rPr>
          <w:spacing w:val="-1"/>
          <w:sz w:val="20"/>
        </w:rPr>
        <w:t> </w:t>
      </w:r>
      <w:r>
        <w:rPr>
          <w:spacing w:val="-2"/>
          <w:sz w:val="20"/>
        </w:rPr>
        <w:t>compartidas.</w:t>
      </w:r>
    </w:p>
    <w:p>
      <w:pPr>
        <w:pStyle w:val="ListParagraph"/>
        <w:numPr>
          <w:ilvl w:val="1"/>
          <w:numId w:val="4"/>
        </w:numPr>
        <w:tabs>
          <w:tab w:pos="761" w:val="left" w:leader="none"/>
        </w:tabs>
        <w:spacing w:line="240" w:lineRule="auto" w:before="10" w:after="0"/>
        <w:ind w:left="761" w:right="0" w:hanging="166"/>
        <w:jc w:val="left"/>
        <w:rPr>
          <w:sz w:val="20"/>
        </w:rPr>
      </w:pPr>
      <w:r>
        <w:rPr>
          <w:sz w:val="20"/>
        </w:rPr>
        <w:t>Acción</w:t>
      </w:r>
      <w:r>
        <w:rPr>
          <w:spacing w:val="-5"/>
          <w:sz w:val="20"/>
        </w:rPr>
        <w:t> </w:t>
      </w:r>
      <w:r>
        <w:rPr>
          <w:sz w:val="20"/>
        </w:rPr>
        <w:t>social</w:t>
      </w:r>
      <w:r>
        <w:rPr>
          <w:spacing w:val="-5"/>
          <w:sz w:val="20"/>
        </w:rPr>
        <w:t> </w:t>
      </w:r>
      <w:r>
        <w:rPr>
          <w:sz w:val="20"/>
        </w:rPr>
        <w:t>comunitaria</w:t>
      </w:r>
      <w:r>
        <w:rPr>
          <w:spacing w:val="-5"/>
          <w:sz w:val="20"/>
        </w:rPr>
        <w:t> </w:t>
      </w:r>
      <w:r>
        <w:rPr>
          <w:sz w:val="20"/>
        </w:rPr>
        <w:t>y</w:t>
      </w:r>
      <w:r>
        <w:rPr>
          <w:spacing w:val="-5"/>
          <w:sz w:val="20"/>
        </w:rPr>
        <w:t> </w:t>
      </w:r>
      <w:r>
        <w:rPr>
          <w:spacing w:val="-2"/>
          <w:sz w:val="20"/>
        </w:rPr>
        <w:t>familiar.</w:t>
      </w:r>
    </w:p>
    <w:p>
      <w:pPr>
        <w:pStyle w:val="ListParagraph"/>
        <w:numPr>
          <w:ilvl w:val="1"/>
          <w:numId w:val="4"/>
        </w:numPr>
        <w:tabs>
          <w:tab w:pos="761" w:val="left" w:leader="none"/>
        </w:tabs>
        <w:spacing w:line="240" w:lineRule="auto" w:before="10" w:after="0"/>
        <w:ind w:left="761" w:right="0" w:hanging="166"/>
        <w:jc w:val="left"/>
        <w:rPr>
          <w:sz w:val="20"/>
        </w:rPr>
      </w:pPr>
      <w:r>
        <w:rPr>
          <w:sz w:val="20"/>
        </w:rPr>
        <w:t>Asistencia</w:t>
      </w:r>
      <w:r>
        <w:rPr>
          <w:spacing w:val="-5"/>
          <w:sz w:val="20"/>
        </w:rPr>
        <w:t> </w:t>
      </w:r>
      <w:r>
        <w:rPr>
          <w:sz w:val="20"/>
        </w:rPr>
        <w:t>a</w:t>
      </w:r>
      <w:r>
        <w:rPr>
          <w:spacing w:val="-4"/>
          <w:sz w:val="20"/>
        </w:rPr>
        <w:t> </w:t>
      </w:r>
      <w:r>
        <w:rPr>
          <w:spacing w:val="-2"/>
          <w:sz w:val="20"/>
        </w:rPr>
        <w:t>exreclusos.</w:t>
      </w:r>
    </w:p>
    <w:p>
      <w:pPr>
        <w:pStyle w:val="ListParagraph"/>
        <w:numPr>
          <w:ilvl w:val="1"/>
          <w:numId w:val="4"/>
        </w:numPr>
        <w:tabs>
          <w:tab w:pos="817" w:val="left" w:leader="none"/>
        </w:tabs>
        <w:spacing w:line="240" w:lineRule="auto" w:before="10" w:after="0"/>
        <w:ind w:left="817" w:right="0" w:hanging="222"/>
        <w:jc w:val="left"/>
        <w:rPr>
          <w:sz w:val="20"/>
        </w:rPr>
      </w:pPr>
      <w:r>
        <w:rPr>
          <w:sz w:val="20"/>
        </w:rPr>
        <w:t>Reinserción</w:t>
      </w:r>
      <w:r>
        <w:rPr>
          <w:spacing w:val="-7"/>
          <w:sz w:val="20"/>
        </w:rPr>
        <w:t> </w:t>
      </w:r>
      <w:r>
        <w:rPr>
          <w:sz w:val="20"/>
        </w:rPr>
        <w:t>social</w:t>
      </w:r>
      <w:r>
        <w:rPr>
          <w:spacing w:val="-4"/>
          <w:sz w:val="20"/>
        </w:rPr>
        <w:t> </w:t>
      </w:r>
      <w:r>
        <w:rPr>
          <w:sz w:val="20"/>
        </w:rPr>
        <w:t>y</w:t>
      </w:r>
      <w:r>
        <w:rPr>
          <w:spacing w:val="-4"/>
          <w:sz w:val="20"/>
        </w:rPr>
        <w:t> </w:t>
      </w:r>
      <w:r>
        <w:rPr>
          <w:sz w:val="20"/>
        </w:rPr>
        <w:t>prevención</w:t>
      </w:r>
      <w:r>
        <w:rPr>
          <w:spacing w:val="-5"/>
          <w:sz w:val="20"/>
        </w:rPr>
        <w:t> </w:t>
      </w:r>
      <w:r>
        <w:rPr>
          <w:sz w:val="20"/>
        </w:rPr>
        <w:t>de</w:t>
      </w:r>
      <w:r>
        <w:rPr>
          <w:spacing w:val="-4"/>
          <w:sz w:val="20"/>
        </w:rPr>
        <w:t> </w:t>
      </w:r>
      <w:r>
        <w:rPr>
          <w:sz w:val="20"/>
        </w:rPr>
        <w:t>la</w:t>
      </w:r>
      <w:r>
        <w:rPr>
          <w:spacing w:val="-4"/>
          <w:sz w:val="20"/>
        </w:rPr>
        <w:t> </w:t>
      </w:r>
      <w:r>
        <w:rPr>
          <w:spacing w:val="-2"/>
          <w:sz w:val="20"/>
        </w:rPr>
        <w:t>delincuencia.</w:t>
      </w:r>
    </w:p>
    <w:p>
      <w:pPr>
        <w:pStyle w:val="ListParagraph"/>
        <w:numPr>
          <w:ilvl w:val="1"/>
          <w:numId w:val="4"/>
        </w:numPr>
        <w:tabs>
          <w:tab w:pos="761" w:val="left" w:leader="none"/>
        </w:tabs>
        <w:spacing w:line="240" w:lineRule="auto" w:before="10" w:after="0"/>
        <w:ind w:left="761" w:right="0" w:hanging="166"/>
        <w:jc w:val="left"/>
        <w:rPr>
          <w:sz w:val="20"/>
        </w:rPr>
      </w:pPr>
      <w:r>
        <w:rPr>
          <w:sz w:val="20"/>
        </w:rPr>
        <w:t>Asistencia</w:t>
      </w:r>
      <w:r>
        <w:rPr>
          <w:spacing w:val="-3"/>
          <w:sz w:val="20"/>
        </w:rPr>
        <w:t> </w:t>
      </w:r>
      <w:r>
        <w:rPr>
          <w:sz w:val="20"/>
        </w:rPr>
        <w:t>a</w:t>
      </w:r>
      <w:r>
        <w:rPr>
          <w:spacing w:val="-2"/>
          <w:sz w:val="20"/>
        </w:rPr>
        <w:t> </w:t>
      </w:r>
      <w:r>
        <w:rPr>
          <w:sz w:val="20"/>
        </w:rPr>
        <w:t>alcohólicos</w:t>
      </w:r>
      <w:r>
        <w:rPr>
          <w:spacing w:val="-2"/>
          <w:sz w:val="20"/>
        </w:rPr>
        <w:t> </w:t>
      </w:r>
      <w:r>
        <w:rPr>
          <w:sz w:val="20"/>
        </w:rPr>
        <w:t>y</w:t>
      </w:r>
      <w:r>
        <w:rPr>
          <w:spacing w:val="-2"/>
          <w:sz w:val="20"/>
        </w:rPr>
        <w:t> toxicómanos.</w:t>
      </w:r>
    </w:p>
    <w:p>
      <w:pPr>
        <w:pStyle w:val="ListParagraph"/>
        <w:numPr>
          <w:ilvl w:val="1"/>
          <w:numId w:val="4"/>
        </w:numPr>
        <w:tabs>
          <w:tab w:pos="883" w:val="left" w:leader="none"/>
        </w:tabs>
        <w:spacing w:line="240" w:lineRule="auto" w:before="10" w:after="0"/>
        <w:ind w:left="883" w:right="0" w:hanging="288"/>
        <w:jc w:val="left"/>
        <w:rPr>
          <w:sz w:val="20"/>
        </w:rPr>
      </w:pPr>
      <w:r>
        <w:rPr>
          <w:sz w:val="20"/>
        </w:rPr>
        <w:t>Cooperación</w:t>
      </w:r>
      <w:r>
        <w:rPr>
          <w:spacing w:val="-5"/>
          <w:sz w:val="20"/>
        </w:rPr>
        <w:t> </w:t>
      </w:r>
      <w:r>
        <w:rPr>
          <w:sz w:val="20"/>
        </w:rPr>
        <w:t>para</w:t>
      </w:r>
      <w:r>
        <w:rPr>
          <w:spacing w:val="-5"/>
          <w:sz w:val="20"/>
        </w:rPr>
        <w:t> </w:t>
      </w:r>
      <w:r>
        <w:rPr>
          <w:sz w:val="20"/>
        </w:rPr>
        <w:t>el</w:t>
      </w:r>
      <w:r>
        <w:rPr>
          <w:spacing w:val="-4"/>
          <w:sz w:val="20"/>
        </w:rPr>
        <w:t> </w:t>
      </w:r>
      <w:r>
        <w:rPr>
          <w:spacing w:val="-2"/>
          <w:sz w:val="20"/>
        </w:rPr>
        <w:t>desarrollo.</w:t>
      </w:r>
    </w:p>
    <w:p>
      <w:pPr>
        <w:pStyle w:val="ListParagraph"/>
        <w:numPr>
          <w:ilvl w:val="1"/>
          <w:numId w:val="4"/>
        </w:numPr>
        <w:tabs>
          <w:tab w:pos="828" w:val="left" w:leader="none"/>
        </w:tabs>
        <w:spacing w:line="240" w:lineRule="auto" w:before="10" w:after="0"/>
        <w:ind w:left="828" w:right="0" w:hanging="233"/>
        <w:jc w:val="left"/>
        <w:rPr>
          <w:sz w:val="20"/>
        </w:rPr>
      </w:pPr>
      <w:r>
        <w:rPr>
          <w:sz w:val="20"/>
        </w:rPr>
        <w:t>Inclusión</w:t>
      </w:r>
      <w:r>
        <w:rPr>
          <w:spacing w:val="-3"/>
          <w:sz w:val="20"/>
        </w:rPr>
        <w:t> </w:t>
      </w:r>
      <w:r>
        <w:rPr>
          <w:sz w:val="20"/>
        </w:rPr>
        <w:t>social</w:t>
      </w:r>
      <w:r>
        <w:rPr>
          <w:spacing w:val="-2"/>
          <w:sz w:val="20"/>
        </w:rPr>
        <w:t> </w:t>
      </w:r>
      <w:r>
        <w:rPr>
          <w:sz w:val="20"/>
        </w:rPr>
        <w:t>de</w:t>
      </w:r>
      <w:r>
        <w:rPr>
          <w:spacing w:val="-2"/>
          <w:sz w:val="20"/>
        </w:rPr>
        <w:t> </w:t>
      </w:r>
      <w:r>
        <w:rPr>
          <w:sz w:val="20"/>
        </w:rPr>
        <w:t>las</w:t>
      </w:r>
      <w:r>
        <w:rPr>
          <w:spacing w:val="-2"/>
          <w:sz w:val="20"/>
        </w:rPr>
        <w:t> </w:t>
      </w:r>
      <w:r>
        <w:rPr>
          <w:sz w:val="20"/>
        </w:rPr>
        <w:t>personas</w:t>
      </w:r>
      <w:r>
        <w:rPr>
          <w:spacing w:val="-2"/>
          <w:sz w:val="20"/>
        </w:rPr>
        <w:t> </w:t>
      </w:r>
      <w:r>
        <w:rPr>
          <w:sz w:val="20"/>
        </w:rPr>
        <w:t>a</w:t>
      </w:r>
      <w:r>
        <w:rPr>
          <w:spacing w:val="-3"/>
          <w:sz w:val="20"/>
        </w:rPr>
        <w:t> </w:t>
      </w:r>
      <w:r>
        <w:rPr>
          <w:sz w:val="20"/>
        </w:rPr>
        <w:t>que</w:t>
      </w:r>
      <w:r>
        <w:rPr>
          <w:spacing w:val="-2"/>
          <w:sz w:val="20"/>
        </w:rPr>
        <w:t> </w:t>
      </w:r>
      <w:r>
        <w:rPr>
          <w:sz w:val="20"/>
        </w:rPr>
        <w:t>se</w:t>
      </w:r>
      <w:r>
        <w:rPr>
          <w:spacing w:val="-2"/>
          <w:sz w:val="20"/>
        </w:rPr>
        <w:t> </w:t>
      </w:r>
      <w:r>
        <w:rPr>
          <w:sz w:val="20"/>
        </w:rPr>
        <w:t>refieren</w:t>
      </w:r>
      <w:r>
        <w:rPr>
          <w:spacing w:val="-2"/>
          <w:sz w:val="20"/>
        </w:rPr>
        <w:t> </w:t>
      </w:r>
      <w:r>
        <w:rPr>
          <w:sz w:val="20"/>
        </w:rPr>
        <w:t>los</w:t>
      </w:r>
      <w:r>
        <w:rPr>
          <w:spacing w:val="-2"/>
          <w:sz w:val="20"/>
        </w:rPr>
        <w:t> </w:t>
      </w:r>
      <w:r>
        <w:rPr>
          <w:sz w:val="20"/>
        </w:rPr>
        <w:t>párrafos</w:t>
      </w:r>
      <w:r>
        <w:rPr>
          <w:spacing w:val="-2"/>
          <w:sz w:val="20"/>
        </w:rPr>
        <w:t> anteriores.</w:t>
      </w:r>
    </w:p>
    <w:p>
      <w:pPr>
        <w:pStyle w:val="BodyText"/>
        <w:spacing w:before="10"/>
        <w:ind w:left="595" w:firstLine="0"/>
        <w:jc w:val="left"/>
      </w:pPr>
      <w:r>
        <w:rPr/>
        <w:t>ñ)</w:t>
      </w:r>
      <w:r>
        <w:rPr>
          <w:spacing w:val="-6"/>
        </w:rPr>
        <w:t> </w:t>
      </w:r>
      <w:r>
        <w:rPr/>
        <w:t>Acciones</w:t>
      </w:r>
      <w:r>
        <w:rPr>
          <w:spacing w:val="-3"/>
        </w:rPr>
        <w:t> </w:t>
      </w:r>
      <w:r>
        <w:rPr/>
        <w:t>de</w:t>
      </w:r>
      <w:r>
        <w:rPr>
          <w:spacing w:val="-3"/>
        </w:rPr>
        <w:t> </w:t>
      </w:r>
      <w:r>
        <w:rPr/>
        <w:t>inserción</w:t>
      </w:r>
      <w:r>
        <w:rPr>
          <w:spacing w:val="-4"/>
        </w:rPr>
        <w:t> </w:t>
      </w:r>
      <w:r>
        <w:rPr/>
        <w:t>sociolaboral</w:t>
      </w:r>
      <w:r>
        <w:rPr>
          <w:spacing w:val="-3"/>
        </w:rPr>
        <w:t> </w:t>
      </w:r>
      <w:r>
        <w:rPr/>
        <w:t>de</w:t>
      </w:r>
      <w:r>
        <w:rPr>
          <w:spacing w:val="-3"/>
        </w:rPr>
        <w:t> </w:t>
      </w:r>
      <w:r>
        <w:rPr/>
        <w:t>personas</w:t>
      </w:r>
      <w:r>
        <w:rPr>
          <w:spacing w:val="-3"/>
        </w:rPr>
        <w:t> </w:t>
      </w:r>
      <w:r>
        <w:rPr/>
        <w:t>en</w:t>
      </w:r>
      <w:r>
        <w:rPr>
          <w:spacing w:val="-4"/>
        </w:rPr>
        <w:t> </w:t>
      </w:r>
      <w:r>
        <w:rPr/>
        <w:t>riesgo</w:t>
      </w:r>
      <w:r>
        <w:rPr>
          <w:spacing w:val="-3"/>
        </w:rPr>
        <w:t> </w:t>
      </w:r>
      <w:r>
        <w:rPr/>
        <w:t>de</w:t>
      </w:r>
      <w:r>
        <w:rPr>
          <w:spacing w:val="-3"/>
        </w:rPr>
        <w:t> </w:t>
      </w:r>
      <w:r>
        <w:rPr/>
        <w:t>exclusión</w:t>
      </w:r>
      <w:r>
        <w:rPr>
          <w:spacing w:val="-3"/>
        </w:rPr>
        <w:t> </w:t>
      </w:r>
      <w:r>
        <w:rPr>
          <w:spacing w:val="-2"/>
        </w:rPr>
        <w:t>social.</w:t>
      </w:r>
    </w:p>
    <w:p>
      <w:pPr>
        <w:pStyle w:val="ListParagraph"/>
        <w:numPr>
          <w:ilvl w:val="0"/>
          <w:numId w:val="4"/>
        </w:numPr>
        <w:tabs>
          <w:tab w:pos="761" w:val="left" w:leader="none"/>
        </w:tabs>
        <w:spacing w:line="249" w:lineRule="auto" w:before="130" w:after="0"/>
        <w:ind w:left="255" w:right="1103" w:firstLine="340"/>
        <w:jc w:val="both"/>
        <w:rPr>
          <w:sz w:val="20"/>
        </w:rPr>
      </w:pPr>
      <w:r>
        <w:rPr>
          <w:sz w:val="20"/>
        </w:rPr>
        <w:t>° Las explotaciones económicas de prestación de servicios de hospitalización o asistencia sanitaria, incluyendo las actividades auxiliares o complementarias de los mismos, como son la entrega de medicamentos o los servicios accesorios de alimentación, alojamiento y transporte.</w:t>
      </w:r>
    </w:p>
    <w:p>
      <w:pPr>
        <w:pStyle w:val="ListParagraph"/>
        <w:numPr>
          <w:ilvl w:val="0"/>
          <w:numId w:val="4"/>
        </w:numPr>
        <w:tabs>
          <w:tab w:pos="761" w:val="left" w:leader="none"/>
        </w:tabs>
        <w:spacing w:line="249" w:lineRule="auto" w:before="3" w:after="0"/>
        <w:ind w:left="255" w:right="1104" w:firstLine="340"/>
        <w:jc w:val="both"/>
        <w:rPr>
          <w:sz w:val="20"/>
        </w:rPr>
      </w:pPr>
      <w:r>
        <w:rPr>
          <w:sz w:val="20"/>
        </w:rPr>
        <w:t>° Las explotaciones económicas de investigación, desarrollo e innovación, siempre y cuando</w:t>
      </w:r>
      <w:r>
        <w:rPr>
          <w:spacing w:val="-1"/>
          <w:sz w:val="20"/>
        </w:rPr>
        <w:t> </w:t>
      </w:r>
      <w:r>
        <w:rPr>
          <w:sz w:val="20"/>
        </w:rPr>
        <w:t>se</w:t>
      </w:r>
      <w:r>
        <w:rPr>
          <w:spacing w:val="-2"/>
          <w:sz w:val="20"/>
        </w:rPr>
        <w:t> </w:t>
      </w:r>
      <w:r>
        <w:rPr>
          <w:sz w:val="20"/>
        </w:rPr>
        <w:t>trate</w:t>
      </w:r>
      <w:r>
        <w:rPr>
          <w:spacing w:val="-1"/>
          <w:sz w:val="20"/>
        </w:rPr>
        <w:t> </w:t>
      </w:r>
      <w:r>
        <w:rPr>
          <w:sz w:val="20"/>
        </w:rPr>
        <w:t>de</w:t>
      </w:r>
      <w:r>
        <w:rPr>
          <w:spacing w:val="-2"/>
          <w:sz w:val="20"/>
        </w:rPr>
        <w:t> </w:t>
      </w:r>
      <w:r>
        <w:rPr>
          <w:sz w:val="20"/>
        </w:rPr>
        <w:t>actividades</w:t>
      </w:r>
      <w:r>
        <w:rPr>
          <w:spacing w:val="-1"/>
          <w:sz w:val="20"/>
        </w:rPr>
        <w:t> </w:t>
      </w:r>
      <w:r>
        <w:rPr>
          <w:sz w:val="20"/>
        </w:rPr>
        <w:t>definidas</w:t>
      </w:r>
      <w:r>
        <w:rPr>
          <w:spacing w:val="-2"/>
          <w:sz w:val="20"/>
        </w:rPr>
        <w:t> </w:t>
      </w:r>
      <w:r>
        <w:rPr>
          <w:sz w:val="20"/>
        </w:rPr>
        <w:t>con</w:t>
      </w:r>
      <w:r>
        <w:rPr>
          <w:spacing w:val="-1"/>
          <w:sz w:val="20"/>
        </w:rPr>
        <w:t> </w:t>
      </w:r>
      <w:r>
        <w:rPr>
          <w:sz w:val="20"/>
        </w:rPr>
        <w:t>arreglo</w:t>
      </w:r>
      <w:r>
        <w:rPr>
          <w:spacing w:val="-2"/>
          <w:sz w:val="20"/>
        </w:rPr>
        <w:t> </w:t>
      </w:r>
      <w:r>
        <w:rPr>
          <w:sz w:val="20"/>
        </w:rPr>
        <w:t>a</w:t>
      </w:r>
      <w:r>
        <w:rPr>
          <w:spacing w:val="-1"/>
          <w:sz w:val="20"/>
        </w:rPr>
        <w:t> </w:t>
      </w:r>
      <w:r>
        <w:rPr>
          <w:sz w:val="20"/>
        </w:rPr>
        <w:t>lo</w:t>
      </w:r>
      <w:r>
        <w:rPr>
          <w:spacing w:val="-2"/>
          <w:sz w:val="20"/>
        </w:rPr>
        <w:t> </w:t>
      </w:r>
      <w:r>
        <w:rPr>
          <w:sz w:val="20"/>
        </w:rPr>
        <w:t>dispuesto</w:t>
      </w:r>
      <w:r>
        <w:rPr>
          <w:spacing w:val="-1"/>
          <w:sz w:val="20"/>
        </w:rPr>
        <w:t> </w:t>
      </w:r>
      <w:r>
        <w:rPr>
          <w:sz w:val="20"/>
        </w:rPr>
        <w:t>en</w:t>
      </w:r>
      <w:r>
        <w:rPr>
          <w:spacing w:val="-2"/>
          <w:sz w:val="20"/>
        </w:rPr>
        <w:t> </w:t>
      </w:r>
      <w:r>
        <w:rPr>
          <w:sz w:val="20"/>
        </w:rPr>
        <w:t>el</w:t>
      </w:r>
      <w:r>
        <w:rPr>
          <w:spacing w:val="-1"/>
          <w:sz w:val="20"/>
        </w:rPr>
        <w:t> </w:t>
      </w:r>
      <w:r>
        <w:rPr>
          <w:sz w:val="20"/>
        </w:rPr>
        <w:t>artículo</w:t>
      </w:r>
      <w:r>
        <w:rPr>
          <w:spacing w:val="-2"/>
          <w:sz w:val="20"/>
        </w:rPr>
        <w:t> </w:t>
      </w:r>
      <w:r>
        <w:rPr>
          <w:sz w:val="20"/>
        </w:rPr>
        <w:t>35</w:t>
      </w:r>
      <w:r>
        <w:rPr>
          <w:spacing w:val="-1"/>
          <w:sz w:val="20"/>
        </w:rPr>
        <w:t> </w:t>
      </w:r>
      <w:r>
        <w:rPr>
          <w:sz w:val="20"/>
        </w:rPr>
        <w:t>de</w:t>
      </w:r>
      <w:r>
        <w:rPr>
          <w:spacing w:val="-2"/>
          <w:sz w:val="20"/>
        </w:rPr>
        <w:t> </w:t>
      </w:r>
      <w:r>
        <w:rPr>
          <w:sz w:val="20"/>
        </w:rPr>
        <w:t>la</w:t>
      </w:r>
      <w:r>
        <w:rPr>
          <w:spacing w:val="-1"/>
          <w:sz w:val="20"/>
        </w:rPr>
        <w:t> </w:t>
      </w:r>
      <w:r>
        <w:rPr>
          <w:sz w:val="20"/>
        </w:rPr>
        <w:t>Ley 27/2014, de 27 de noviembre, del Impuesto sobre Sociedades.</w:t>
      </w:r>
    </w:p>
    <w:p>
      <w:pPr>
        <w:pStyle w:val="ListParagraph"/>
        <w:numPr>
          <w:ilvl w:val="0"/>
          <w:numId w:val="4"/>
        </w:numPr>
        <w:tabs>
          <w:tab w:pos="761" w:val="left" w:leader="none"/>
        </w:tabs>
        <w:spacing w:line="249" w:lineRule="auto" w:before="3" w:after="0"/>
        <w:ind w:left="255" w:right="1103" w:firstLine="340"/>
        <w:jc w:val="both"/>
        <w:rPr>
          <w:sz w:val="20"/>
        </w:rPr>
      </w:pPr>
      <w:r>
        <w:rPr>
          <w:sz w:val="20"/>
        </w:rPr>
        <w:t>° Las explotaciones económicas de los bienes declarados de interés cultural conforme</w:t>
      </w:r>
      <w:r>
        <w:rPr>
          <w:spacing w:val="40"/>
          <w:sz w:val="20"/>
        </w:rPr>
        <w:t> </w:t>
      </w:r>
      <w:r>
        <w:rPr>
          <w:sz w:val="20"/>
        </w:rPr>
        <w:t>a la normativa del Patrimonio Histórico del Estado y de las Comunidades Autónomas, así como de museos, bibliotecas, archivos y centros de documentación, siempre y cuando se cumplan las exigencias establecidas en dicha normativa, en particular respecto de los deberes de visita y exposición pública de dichos bienes.</w:t>
      </w:r>
    </w:p>
    <w:p>
      <w:pPr>
        <w:pStyle w:val="ListParagraph"/>
        <w:numPr>
          <w:ilvl w:val="0"/>
          <w:numId w:val="4"/>
        </w:numPr>
        <w:tabs>
          <w:tab w:pos="761" w:val="left" w:leader="none"/>
        </w:tabs>
        <w:spacing w:line="249" w:lineRule="auto" w:before="4" w:after="0"/>
        <w:ind w:left="255" w:right="1104" w:firstLine="340"/>
        <w:jc w:val="both"/>
        <w:rPr>
          <w:sz w:val="20"/>
        </w:rPr>
      </w:pPr>
      <w:r>
        <w:rPr>
          <w:sz w:val="20"/>
        </w:rPr>
        <w:t>° Las explotaciones económicas consistentes en la organización de representaciones musicales, coreográficas, teatrales, cinematográficas o circenses.</w:t>
      </w:r>
    </w:p>
    <w:p>
      <w:pPr>
        <w:pStyle w:val="ListParagraph"/>
        <w:numPr>
          <w:ilvl w:val="0"/>
          <w:numId w:val="4"/>
        </w:numPr>
        <w:tabs>
          <w:tab w:pos="761" w:val="left" w:leader="none"/>
        </w:tabs>
        <w:spacing w:line="249" w:lineRule="auto" w:before="2" w:after="0"/>
        <w:ind w:left="255" w:right="1102" w:firstLine="340"/>
        <w:jc w:val="both"/>
        <w:rPr>
          <w:sz w:val="20"/>
        </w:rPr>
      </w:pPr>
      <w:r>
        <w:rPr>
          <w:sz w:val="20"/>
        </w:rPr>
        <w:t>° Las explotaciones económicas de parques y otros espacios naturales protegidos </w:t>
      </w:r>
      <w:r>
        <w:rPr>
          <w:sz w:val="20"/>
        </w:rPr>
        <w:t>de características similares.</w:t>
      </w:r>
    </w:p>
    <w:p>
      <w:pPr>
        <w:pStyle w:val="ListParagraph"/>
        <w:numPr>
          <w:ilvl w:val="0"/>
          <w:numId w:val="4"/>
        </w:numPr>
        <w:tabs>
          <w:tab w:pos="761" w:val="left" w:leader="none"/>
        </w:tabs>
        <w:spacing w:line="249" w:lineRule="auto" w:before="1" w:after="0"/>
        <w:ind w:left="255" w:right="1103" w:firstLine="340"/>
        <w:jc w:val="both"/>
        <w:rPr>
          <w:sz w:val="20"/>
        </w:rPr>
      </w:pPr>
      <w:r>
        <w:rPr>
          <w:sz w:val="20"/>
        </w:rPr>
        <w:t>°</w:t>
      </w:r>
      <w:r>
        <w:rPr>
          <w:spacing w:val="-2"/>
          <w:sz w:val="20"/>
        </w:rPr>
        <w:t> </w:t>
      </w:r>
      <w:r>
        <w:rPr>
          <w:sz w:val="20"/>
        </w:rPr>
        <w:t>Las</w:t>
      </w:r>
      <w:r>
        <w:rPr>
          <w:spacing w:val="-2"/>
          <w:sz w:val="20"/>
        </w:rPr>
        <w:t> </w:t>
      </w:r>
      <w:r>
        <w:rPr>
          <w:sz w:val="20"/>
        </w:rPr>
        <w:t>explotaciones</w:t>
      </w:r>
      <w:r>
        <w:rPr>
          <w:spacing w:val="-2"/>
          <w:sz w:val="20"/>
        </w:rPr>
        <w:t> </w:t>
      </w:r>
      <w:r>
        <w:rPr>
          <w:sz w:val="20"/>
        </w:rPr>
        <w:t>económicas</w:t>
      </w:r>
      <w:r>
        <w:rPr>
          <w:spacing w:val="-2"/>
          <w:sz w:val="20"/>
        </w:rPr>
        <w:t> </w:t>
      </w:r>
      <w:r>
        <w:rPr>
          <w:sz w:val="20"/>
        </w:rPr>
        <w:t>de</w:t>
      </w:r>
      <w:r>
        <w:rPr>
          <w:spacing w:val="-2"/>
          <w:sz w:val="20"/>
        </w:rPr>
        <w:t> </w:t>
      </w:r>
      <w:r>
        <w:rPr>
          <w:sz w:val="20"/>
        </w:rPr>
        <w:t>enseñanza</w:t>
      </w:r>
      <w:r>
        <w:rPr>
          <w:spacing w:val="-2"/>
          <w:sz w:val="20"/>
        </w:rPr>
        <w:t> </w:t>
      </w:r>
      <w:r>
        <w:rPr>
          <w:sz w:val="20"/>
        </w:rPr>
        <w:t>y</w:t>
      </w:r>
      <w:r>
        <w:rPr>
          <w:spacing w:val="-2"/>
          <w:sz w:val="20"/>
        </w:rPr>
        <w:t> </w:t>
      </w:r>
      <w:r>
        <w:rPr>
          <w:sz w:val="20"/>
        </w:rPr>
        <w:t>de</w:t>
      </w:r>
      <w:r>
        <w:rPr>
          <w:spacing w:val="-2"/>
          <w:sz w:val="20"/>
        </w:rPr>
        <w:t> </w:t>
      </w:r>
      <w:r>
        <w:rPr>
          <w:sz w:val="20"/>
        </w:rPr>
        <w:t>formación</w:t>
      </w:r>
      <w:r>
        <w:rPr>
          <w:spacing w:val="-2"/>
          <w:sz w:val="20"/>
        </w:rPr>
        <w:t> </w:t>
      </w:r>
      <w:r>
        <w:rPr>
          <w:sz w:val="20"/>
        </w:rPr>
        <w:t>profesional,</w:t>
      </w:r>
      <w:r>
        <w:rPr>
          <w:spacing w:val="-2"/>
          <w:sz w:val="20"/>
        </w:rPr>
        <w:t> </w:t>
      </w:r>
      <w:r>
        <w:rPr>
          <w:sz w:val="20"/>
        </w:rPr>
        <w:t>en</w:t>
      </w:r>
      <w:r>
        <w:rPr>
          <w:spacing w:val="-2"/>
          <w:sz w:val="20"/>
        </w:rPr>
        <w:t> </w:t>
      </w:r>
      <w:r>
        <w:rPr>
          <w:sz w:val="20"/>
        </w:rPr>
        <w:t>todos</w:t>
      </w:r>
      <w:r>
        <w:rPr>
          <w:spacing w:val="-2"/>
          <w:sz w:val="20"/>
        </w:rPr>
        <w:t> </w:t>
      </w:r>
      <w:r>
        <w:rPr>
          <w:sz w:val="20"/>
        </w:rPr>
        <w:t>los niveles y grados del sistema educativo, así como las de educación de altas capacidades, las de educación infantil hasta los tres años, incluida la guarda y custodia de niños hasta esa edad, las de educación especial, las de educación compensatoria y las de educación permanente y de adultos, cuando estén exentas del Impuesto sobre el Valor Añadido, así como las explotaciones económicas de alimentación, alojamiento o transporte realizadas por centros docentes y colegios mayores pertenecientes a entidades sin fines lucrativos.</w:t>
      </w:r>
    </w:p>
    <w:p>
      <w:pPr>
        <w:pStyle w:val="ListParagraph"/>
        <w:numPr>
          <w:ilvl w:val="0"/>
          <w:numId w:val="4"/>
        </w:numPr>
        <w:tabs>
          <w:tab w:pos="761" w:val="left" w:leader="none"/>
        </w:tabs>
        <w:spacing w:line="249" w:lineRule="auto" w:before="6" w:after="0"/>
        <w:ind w:left="255" w:right="1104" w:firstLine="340"/>
        <w:jc w:val="both"/>
        <w:rPr>
          <w:sz w:val="20"/>
        </w:rPr>
      </w:pPr>
      <w:r>
        <w:rPr>
          <w:sz w:val="20"/>
        </w:rPr>
        <w:t>° Las explotaciones económicas consistentes en la organización de exposiciones, conferencias, coloquios, cursos o seminarios.</w:t>
      </w:r>
    </w:p>
    <w:p>
      <w:pPr>
        <w:pStyle w:val="ListParagraph"/>
        <w:numPr>
          <w:ilvl w:val="0"/>
          <w:numId w:val="4"/>
        </w:numPr>
        <w:tabs>
          <w:tab w:pos="761" w:val="left" w:leader="none"/>
        </w:tabs>
        <w:spacing w:line="249" w:lineRule="auto" w:before="2" w:after="0"/>
        <w:ind w:left="255" w:right="1103" w:firstLine="340"/>
        <w:jc w:val="both"/>
        <w:rPr>
          <w:sz w:val="20"/>
        </w:rPr>
      </w:pPr>
      <w:r>
        <w:rPr>
          <w:sz w:val="20"/>
        </w:rPr>
        <w:t>° Las explotaciones económicas de elaboración, edición, publicación y venta de libros, revistas, folletos, material audiovisual y material multimedia.</w:t>
      </w:r>
    </w:p>
    <w:p>
      <w:pPr>
        <w:pStyle w:val="ListParagraph"/>
        <w:numPr>
          <w:ilvl w:val="0"/>
          <w:numId w:val="4"/>
        </w:numPr>
        <w:tabs>
          <w:tab w:pos="873" w:val="left" w:leader="none"/>
        </w:tabs>
        <w:spacing w:line="249" w:lineRule="auto" w:before="1" w:after="0"/>
        <w:ind w:left="255" w:right="1105" w:firstLine="340"/>
        <w:jc w:val="both"/>
        <w:rPr>
          <w:sz w:val="20"/>
        </w:rPr>
      </w:pPr>
      <w:r>
        <w:rPr>
          <w:sz w:val="20"/>
        </w:rPr>
        <w:t>° Las explotaciones económicas de prestación de servicios de carácter deportivo a personas físicas que practiquen el deporte o la educación física, siempre que tales servicios</w:t>
      </w:r>
    </w:p>
    <w:p>
      <w:pPr>
        <w:pStyle w:val="ListParagraph"/>
        <w:spacing w:after="0" w:line="249" w:lineRule="auto"/>
        <w:jc w:val="both"/>
        <w:rPr>
          <w:sz w:val="20"/>
        </w:rPr>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right="1104" w:firstLine="0"/>
      </w:pPr>
      <w:r>
        <w:rPr/>
        <w:t>estén directamente relacionados con dichas prácticas y con excepción de los servicios relacionados con espectáculos deportivos y de los prestados a deportistas profesionales.</w:t>
      </w:r>
    </w:p>
    <w:p>
      <w:pPr>
        <w:pStyle w:val="ListParagraph"/>
        <w:numPr>
          <w:ilvl w:val="0"/>
          <w:numId w:val="4"/>
        </w:numPr>
        <w:tabs>
          <w:tab w:pos="858" w:val="left" w:leader="none"/>
        </w:tabs>
        <w:spacing w:line="249" w:lineRule="auto" w:before="1" w:after="0"/>
        <w:ind w:left="255" w:right="1104" w:firstLine="340"/>
        <w:jc w:val="both"/>
        <w:rPr>
          <w:sz w:val="20"/>
        </w:rPr>
      </w:pPr>
      <w:r>
        <w:rPr>
          <w:sz w:val="20"/>
        </w:rPr>
        <w:t>° Las explotaciones económicas que tengan un carácter meramente auxiliar o complementario de las explotaciones económicas exentas o de las actividades encaminadas a cumplir los fines estatutarios o el objeto de la entidad sin fines lucrativos.</w:t>
      </w:r>
    </w:p>
    <w:p>
      <w:pPr>
        <w:pStyle w:val="BodyText"/>
        <w:spacing w:line="249" w:lineRule="auto" w:before="3"/>
        <w:ind w:right="1105"/>
      </w:pPr>
      <w:r>
        <w:rPr/>
        <w:t>No se considerará que las explotaciones económicas tienen un carácter meramente auxiliar o complementario cuando el importe neto de la cifra de negocios del ejercicio correspondiente al conjunto de ellas exceda del 20</w:t>
      </w:r>
      <w:r>
        <w:rPr>
          <w:spacing w:val="-10"/>
        </w:rPr>
        <w:t> </w:t>
      </w:r>
      <w:r>
        <w:rPr/>
        <w:t>% de los ingresos totales de la entidad.</w:t>
      </w:r>
    </w:p>
    <w:p>
      <w:pPr>
        <w:pStyle w:val="ListParagraph"/>
        <w:numPr>
          <w:ilvl w:val="0"/>
          <w:numId w:val="4"/>
        </w:numPr>
        <w:tabs>
          <w:tab w:pos="873" w:val="left" w:leader="none"/>
        </w:tabs>
        <w:spacing w:line="249" w:lineRule="auto" w:before="2" w:after="0"/>
        <w:ind w:left="255" w:right="1104" w:firstLine="340"/>
        <w:jc w:val="both"/>
        <w:rPr>
          <w:sz w:val="20"/>
        </w:rPr>
      </w:pPr>
      <w:r>
        <w:rPr>
          <w:sz w:val="20"/>
        </w:rPr>
        <w:t>° Las explotaciones económicas de escasa relevancia. Se consideran como tales aquellas</w:t>
      </w:r>
      <w:r>
        <w:rPr>
          <w:spacing w:val="-2"/>
          <w:sz w:val="20"/>
        </w:rPr>
        <w:t> </w:t>
      </w:r>
      <w:r>
        <w:rPr>
          <w:sz w:val="20"/>
        </w:rPr>
        <w:t>cuyo</w:t>
      </w:r>
      <w:r>
        <w:rPr>
          <w:spacing w:val="-2"/>
          <w:sz w:val="20"/>
        </w:rPr>
        <w:t> </w:t>
      </w:r>
      <w:r>
        <w:rPr>
          <w:sz w:val="20"/>
        </w:rPr>
        <w:t>importe</w:t>
      </w:r>
      <w:r>
        <w:rPr>
          <w:spacing w:val="-2"/>
          <w:sz w:val="20"/>
        </w:rPr>
        <w:t> </w:t>
      </w:r>
      <w:r>
        <w:rPr>
          <w:sz w:val="20"/>
        </w:rPr>
        <w:t>neto</w:t>
      </w:r>
      <w:r>
        <w:rPr>
          <w:spacing w:val="-2"/>
          <w:sz w:val="20"/>
        </w:rPr>
        <w:t> </w:t>
      </w:r>
      <w:r>
        <w:rPr>
          <w:sz w:val="20"/>
        </w:rPr>
        <w:t>de</w:t>
      </w:r>
      <w:r>
        <w:rPr>
          <w:spacing w:val="-2"/>
          <w:sz w:val="20"/>
        </w:rPr>
        <w:t> </w:t>
      </w:r>
      <w:r>
        <w:rPr>
          <w:sz w:val="20"/>
        </w:rPr>
        <w:t>la</w:t>
      </w:r>
      <w:r>
        <w:rPr>
          <w:spacing w:val="-2"/>
          <w:sz w:val="20"/>
        </w:rPr>
        <w:t> </w:t>
      </w:r>
      <w:r>
        <w:rPr>
          <w:sz w:val="20"/>
        </w:rPr>
        <w:t>cifra</w:t>
      </w:r>
      <w:r>
        <w:rPr>
          <w:spacing w:val="-2"/>
          <w:sz w:val="20"/>
        </w:rPr>
        <w:t> </w:t>
      </w:r>
      <w:r>
        <w:rPr>
          <w:sz w:val="20"/>
        </w:rPr>
        <w:t>de</w:t>
      </w:r>
      <w:r>
        <w:rPr>
          <w:spacing w:val="-2"/>
          <w:sz w:val="20"/>
        </w:rPr>
        <w:t> </w:t>
      </w:r>
      <w:r>
        <w:rPr>
          <w:sz w:val="20"/>
        </w:rPr>
        <w:t>negocios</w:t>
      </w:r>
      <w:r>
        <w:rPr>
          <w:spacing w:val="-2"/>
          <w:sz w:val="20"/>
        </w:rPr>
        <w:t> </w:t>
      </w:r>
      <w:r>
        <w:rPr>
          <w:sz w:val="20"/>
        </w:rPr>
        <w:t>del</w:t>
      </w:r>
      <w:r>
        <w:rPr>
          <w:spacing w:val="-2"/>
          <w:sz w:val="20"/>
        </w:rPr>
        <w:t> </w:t>
      </w:r>
      <w:r>
        <w:rPr>
          <w:sz w:val="20"/>
        </w:rPr>
        <w:t>ejercicio</w:t>
      </w:r>
      <w:r>
        <w:rPr>
          <w:spacing w:val="-2"/>
          <w:sz w:val="20"/>
        </w:rPr>
        <w:t> </w:t>
      </w:r>
      <w:r>
        <w:rPr>
          <w:sz w:val="20"/>
        </w:rPr>
        <w:t>no</w:t>
      </w:r>
      <w:r>
        <w:rPr>
          <w:spacing w:val="-2"/>
          <w:sz w:val="20"/>
        </w:rPr>
        <w:t> </w:t>
      </w:r>
      <w:r>
        <w:rPr>
          <w:sz w:val="20"/>
        </w:rPr>
        <w:t>supere</w:t>
      </w:r>
      <w:r>
        <w:rPr>
          <w:spacing w:val="-2"/>
          <w:sz w:val="20"/>
        </w:rPr>
        <w:t> </w:t>
      </w:r>
      <w:r>
        <w:rPr>
          <w:sz w:val="20"/>
        </w:rPr>
        <w:t>en</w:t>
      </w:r>
      <w:r>
        <w:rPr>
          <w:spacing w:val="-2"/>
          <w:sz w:val="20"/>
        </w:rPr>
        <w:t> </w:t>
      </w:r>
      <w:r>
        <w:rPr>
          <w:sz w:val="20"/>
        </w:rPr>
        <w:t>conjunto</w:t>
      </w:r>
      <w:r>
        <w:rPr>
          <w:spacing w:val="-2"/>
          <w:sz w:val="20"/>
        </w:rPr>
        <w:t> </w:t>
      </w:r>
      <w:r>
        <w:rPr>
          <w:sz w:val="20"/>
        </w:rPr>
        <w:t>20.000 </w:t>
      </w:r>
      <w:r>
        <w:rPr>
          <w:spacing w:val="-2"/>
          <w:sz w:val="20"/>
        </w:rPr>
        <w:t>euros.</w:t>
      </w:r>
    </w:p>
    <w:p>
      <w:pPr>
        <w:spacing w:before="229"/>
        <w:ind w:left="255" w:right="0" w:firstLine="0"/>
        <w:jc w:val="left"/>
        <w:rPr>
          <w:i/>
          <w:sz w:val="20"/>
        </w:rPr>
      </w:pPr>
      <w:bookmarkStart w:name="Artículo 8. Determinación de la base imp" w:id="26"/>
      <w:bookmarkEnd w:id="26"/>
      <w:r>
        <w:rPr/>
      </w:r>
      <w:bookmarkStart w:name="_bookmark12" w:id="27"/>
      <w:bookmarkEnd w:id="27"/>
      <w:r>
        <w:rPr/>
      </w:r>
      <w:r>
        <w:rPr>
          <w:b/>
          <w:sz w:val="20"/>
        </w:rPr>
        <w:t>Artículo</w:t>
      </w:r>
      <w:r>
        <w:rPr>
          <w:b/>
          <w:spacing w:val="-5"/>
          <w:sz w:val="20"/>
        </w:rPr>
        <w:t> </w:t>
      </w:r>
      <w:r>
        <w:rPr>
          <w:b/>
          <w:sz w:val="20"/>
        </w:rPr>
        <w:t>8.</w:t>
      </w:r>
      <w:r>
        <w:rPr>
          <w:b/>
          <w:spacing w:val="49"/>
          <w:sz w:val="20"/>
        </w:rPr>
        <w:t> </w:t>
      </w:r>
      <w:r>
        <w:rPr>
          <w:i/>
          <w:sz w:val="20"/>
        </w:rPr>
        <w:t>Determinación</w:t>
      </w:r>
      <w:r>
        <w:rPr>
          <w:i/>
          <w:spacing w:val="-2"/>
          <w:sz w:val="20"/>
        </w:rPr>
        <w:t> </w:t>
      </w:r>
      <w:r>
        <w:rPr>
          <w:i/>
          <w:sz w:val="20"/>
        </w:rPr>
        <w:t>de</w:t>
      </w:r>
      <w:r>
        <w:rPr>
          <w:i/>
          <w:spacing w:val="-3"/>
          <w:sz w:val="20"/>
        </w:rPr>
        <w:t> </w:t>
      </w:r>
      <w:r>
        <w:rPr>
          <w:i/>
          <w:sz w:val="20"/>
        </w:rPr>
        <w:t>la</w:t>
      </w:r>
      <w:r>
        <w:rPr>
          <w:i/>
          <w:spacing w:val="-2"/>
          <w:sz w:val="20"/>
        </w:rPr>
        <w:t> </w:t>
      </w:r>
      <w:r>
        <w:rPr>
          <w:i/>
          <w:sz w:val="20"/>
        </w:rPr>
        <w:t>base</w:t>
      </w:r>
      <w:r>
        <w:rPr>
          <w:i/>
          <w:spacing w:val="-2"/>
          <w:sz w:val="20"/>
        </w:rPr>
        <w:t> imponible.</w:t>
      </w:r>
    </w:p>
    <w:p>
      <w:pPr>
        <w:pStyle w:val="ListParagraph"/>
        <w:numPr>
          <w:ilvl w:val="0"/>
          <w:numId w:val="5"/>
        </w:numPr>
        <w:tabs>
          <w:tab w:pos="870" w:val="left" w:leader="none"/>
        </w:tabs>
        <w:spacing w:line="249" w:lineRule="auto" w:before="124" w:after="0"/>
        <w:ind w:left="255" w:right="1104" w:firstLine="340"/>
        <w:jc w:val="both"/>
        <w:rPr>
          <w:sz w:val="20"/>
        </w:rPr>
      </w:pPr>
      <w:r>
        <w:rPr>
          <w:sz w:val="20"/>
        </w:rPr>
        <w:t>En la base imponible del Impuesto sobre Sociedades de las entidades sin fines lucrativos</w:t>
      </w:r>
      <w:r>
        <w:rPr>
          <w:spacing w:val="-2"/>
          <w:sz w:val="20"/>
        </w:rPr>
        <w:t> </w:t>
      </w:r>
      <w:r>
        <w:rPr>
          <w:sz w:val="20"/>
        </w:rPr>
        <w:t>sólo</w:t>
      </w:r>
      <w:r>
        <w:rPr>
          <w:spacing w:val="-2"/>
          <w:sz w:val="20"/>
        </w:rPr>
        <w:t> </w:t>
      </w:r>
      <w:r>
        <w:rPr>
          <w:sz w:val="20"/>
        </w:rPr>
        <w:t>se</w:t>
      </w:r>
      <w:r>
        <w:rPr>
          <w:spacing w:val="-2"/>
          <w:sz w:val="20"/>
        </w:rPr>
        <w:t> </w:t>
      </w:r>
      <w:r>
        <w:rPr>
          <w:sz w:val="20"/>
        </w:rPr>
        <w:t>incluirán</w:t>
      </w:r>
      <w:r>
        <w:rPr>
          <w:spacing w:val="-2"/>
          <w:sz w:val="20"/>
        </w:rPr>
        <w:t> </w:t>
      </w:r>
      <w:r>
        <w:rPr>
          <w:sz w:val="20"/>
        </w:rPr>
        <w:t>las</w:t>
      </w:r>
      <w:r>
        <w:rPr>
          <w:spacing w:val="-2"/>
          <w:sz w:val="20"/>
        </w:rPr>
        <w:t> </w:t>
      </w:r>
      <w:r>
        <w:rPr>
          <w:sz w:val="20"/>
        </w:rPr>
        <w:t>rentas</w:t>
      </w:r>
      <w:r>
        <w:rPr>
          <w:spacing w:val="-2"/>
          <w:sz w:val="20"/>
        </w:rPr>
        <w:t> </w:t>
      </w:r>
      <w:r>
        <w:rPr>
          <w:sz w:val="20"/>
        </w:rPr>
        <w:t>derivadas</w:t>
      </w:r>
      <w:r>
        <w:rPr>
          <w:spacing w:val="-2"/>
          <w:sz w:val="20"/>
        </w:rPr>
        <w:t> </w:t>
      </w:r>
      <w:r>
        <w:rPr>
          <w:sz w:val="20"/>
        </w:rPr>
        <w:t>de</w:t>
      </w:r>
      <w:r>
        <w:rPr>
          <w:spacing w:val="-2"/>
          <w:sz w:val="20"/>
        </w:rPr>
        <w:t> </w:t>
      </w:r>
      <w:r>
        <w:rPr>
          <w:sz w:val="20"/>
        </w:rPr>
        <w:t>las</w:t>
      </w:r>
      <w:r>
        <w:rPr>
          <w:spacing w:val="-2"/>
          <w:sz w:val="20"/>
        </w:rPr>
        <w:t> </w:t>
      </w:r>
      <w:r>
        <w:rPr>
          <w:sz w:val="20"/>
        </w:rPr>
        <w:t>explotaciones</w:t>
      </w:r>
      <w:r>
        <w:rPr>
          <w:spacing w:val="-2"/>
          <w:sz w:val="20"/>
        </w:rPr>
        <w:t> </w:t>
      </w:r>
      <w:r>
        <w:rPr>
          <w:sz w:val="20"/>
        </w:rPr>
        <w:t>económicas</w:t>
      </w:r>
      <w:r>
        <w:rPr>
          <w:spacing w:val="-2"/>
          <w:sz w:val="20"/>
        </w:rPr>
        <w:t> </w:t>
      </w:r>
      <w:r>
        <w:rPr>
          <w:sz w:val="20"/>
        </w:rPr>
        <w:t>no</w:t>
      </w:r>
      <w:r>
        <w:rPr>
          <w:spacing w:val="-2"/>
          <w:sz w:val="20"/>
        </w:rPr>
        <w:t> </w:t>
      </w:r>
      <w:r>
        <w:rPr>
          <w:sz w:val="20"/>
        </w:rPr>
        <w:t>exentas.</w:t>
      </w:r>
    </w:p>
    <w:p>
      <w:pPr>
        <w:pStyle w:val="ListParagraph"/>
        <w:numPr>
          <w:ilvl w:val="0"/>
          <w:numId w:val="5"/>
        </w:numPr>
        <w:tabs>
          <w:tab w:pos="828" w:val="left" w:leader="none"/>
        </w:tabs>
        <w:spacing w:line="249" w:lineRule="auto" w:before="1" w:after="0"/>
        <w:ind w:left="255" w:right="1105" w:firstLine="340"/>
        <w:jc w:val="both"/>
        <w:rPr>
          <w:sz w:val="20"/>
        </w:rPr>
      </w:pPr>
      <w:r>
        <w:rPr>
          <w:sz w:val="20"/>
        </w:rPr>
        <w:t>No tendrán la consideración de gastos deducibles, además de los establecidos por la normativa general del Impuesto sobre Sociedades, los siguientes:</w:t>
      </w:r>
    </w:p>
    <w:p>
      <w:pPr>
        <w:pStyle w:val="ListParagraph"/>
        <w:numPr>
          <w:ilvl w:val="1"/>
          <w:numId w:val="5"/>
        </w:numPr>
        <w:tabs>
          <w:tab w:pos="828" w:val="left" w:leader="none"/>
        </w:tabs>
        <w:spacing w:line="240" w:lineRule="auto" w:before="122" w:after="0"/>
        <w:ind w:left="828" w:right="0" w:hanging="233"/>
        <w:jc w:val="both"/>
        <w:rPr>
          <w:sz w:val="20"/>
        </w:rPr>
      </w:pPr>
      <w:r>
        <w:rPr>
          <w:sz w:val="20"/>
        </w:rPr>
        <w:t>Los</w:t>
      </w:r>
      <w:r>
        <w:rPr>
          <w:spacing w:val="-2"/>
          <w:sz w:val="20"/>
        </w:rPr>
        <w:t> </w:t>
      </w:r>
      <w:r>
        <w:rPr>
          <w:sz w:val="20"/>
        </w:rPr>
        <w:t>gastos</w:t>
      </w:r>
      <w:r>
        <w:rPr>
          <w:spacing w:val="-2"/>
          <w:sz w:val="20"/>
        </w:rPr>
        <w:t> </w:t>
      </w:r>
      <w:r>
        <w:rPr>
          <w:sz w:val="20"/>
        </w:rPr>
        <w:t>imputables</w:t>
      </w:r>
      <w:r>
        <w:rPr>
          <w:spacing w:val="-2"/>
          <w:sz w:val="20"/>
        </w:rPr>
        <w:t> </w:t>
      </w:r>
      <w:r>
        <w:rPr>
          <w:sz w:val="20"/>
        </w:rPr>
        <w:t>exclusivamente</w:t>
      </w:r>
      <w:r>
        <w:rPr>
          <w:spacing w:val="-2"/>
          <w:sz w:val="20"/>
        </w:rPr>
        <w:t> </w:t>
      </w:r>
      <w:r>
        <w:rPr>
          <w:sz w:val="20"/>
        </w:rPr>
        <w:t>a</w:t>
      </w:r>
      <w:r>
        <w:rPr>
          <w:spacing w:val="-2"/>
          <w:sz w:val="20"/>
        </w:rPr>
        <w:t> </w:t>
      </w:r>
      <w:r>
        <w:rPr>
          <w:sz w:val="20"/>
        </w:rPr>
        <w:t>las</w:t>
      </w:r>
      <w:r>
        <w:rPr>
          <w:spacing w:val="-2"/>
          <w:sz w:val="20"/>
        </w:rPr>
        <w:t> </w:t>
      </w:r>
      <w:r>
        <w:rPr>
          <w:sz w:val="20"/>
        </w:rPr>
        <w:t>rentas</w:t>
      </w:r>
      <w:r>
        <w:rPr>
          <w:spacing w:val="-1"/>
          <w:sz w:val="20"/>
        </w:rPr>
        <w:t> </w:t>
      </w:r>
      <w:r>
        <w:rPr>
          <w:spacing w:val="-2"/>
          <w:sz w:val="20"/>
        </w:rPr>
        <w:t>exentas.</w:t>
      </w:r>
    </w:p>
    <w:p>
      <w:pPr>
        <w:pStyle w:val="BodyText"/>
        <w:spacing w:line="249" w:lineRule="auto" w:before="10"/>
        <w:ind w:right="1104"/>
      </w:pPr>
      <w:r>
        <w:rPr/>
        <w:t>Los gastos parcialmente imputables a las rentas no exentas serán deducibles en el porcentaje que representen los ingresos obtenidos en el ejercicio de explotaciones económicas no exentas respecto de los ingresos totales de la entidad.</w:t>
      </w:r>
    </w:p>
    <w:p>
      <w:pPr>
        <w:pStyle w:val="ListParagraph"/>
        <w:numPr>
          <w:ilvl w:val="1"/>
          <w:numId w:val="5"/>
        </w:numPr>
        <w:tabs>
          <w:tab w:pos="838" w:val="left" w:leader="none"/>
        </w:tabs>
        <w:spacing w:line="249" w:lineRule="auto" w:before="3" w:after="0"/>
        <w:ind w:left="255" w:right="1103" w:firstLine="340"/>
        <w:jc w:val="both"/>
        <w:rPr>
          <w:sz w:val="20"/>
        </w:rPr>
      </w:pPr>
      <w:r>
        <w:rPr>
          <w:sz w:val="20"/>
        </w:rPr>
        <w:t>Las cantidades destinadas a la amortización de elementos patrimoniales no afectos a las explotaciones económicas sometidas a gravamen.</w:t>
      </w:r>
    </w:p>
    <w:p>
      <w:pPr>
        <w:pStyle w:val="BodyText"/>
        <w:spacing w:line="249" w:lineRule="auto" w:before="1"/>
        <w:ind w:right="1103"/>
      </w:pPr>
      <w:r>
        <w:rPr/>
        <w:t>En el caso de elementos patrimoniales afectos parcialmente a la realización de actividades</w:t>
      </w:r>
      <w:r>
        <w:rPr>
          <w:spacing w:val="-1"/>
        </w:rPr>
        <w:t> </w:t>
      </w:r>
      <w:r>
        <w:rPr/>
        <w:t>exentas,</w:t>
      </w:r>
      <w:r>
        <w:rPr>
          <w:spacing w:val="-1"/>
        </w:rPr>
        <w:t> </w:t>
      </w:r>
      <w:r>
        <w:rPr/>
        <w:t>no</w:t>
      </w:r>
      <w:r>
        <w:rPr>
          <w:spacing w:val="-1"/>
        </w:rPr>
        <w:t> </w:t>
      </w:r>
      <w:r>
        <w:rPr/>
        <w:t>resultarán</w:t>
      </w:r>
      <w:r>
        <w:rPr>
          <w:spacing w:val="-1"/>
        </w:rPr>
        <w:t> </w:t>
      </w:r>
      <w:r>
        <w:rPr/>
        <w:t>deducibles</w:t>
      </w:r>
      <w:r>
        <w:rPr>
          <w:spacing w:val="-1"/>
        </w:rPr>
        <w:t> </w:t>
      </w:r>
      <w:r>
        <w:rPr/>
        <w:t>las</w:t>
      </w:r>
      <w:r>
        <w:rPr>
          <w:spacing w:val="-1"/>
        </w:rPr>
        <w:t> </w:t>
      </w:r>
      <w:r>
        <w:rPr/>
        <w:t>cantidades</w:t>
      </w:r>
      <w:r>
        <w:rPr>
          <w:spacing w:val="-1"/>
        </w:rPr>
        <w:t> </w:t>
      </w:r>
      <w:r>
        <w:rPr/>
        <w:t>destinadas</w:t>
      </w:r>
      <w:r>
        <w:rPr>
          <w:spacing w:val="-1"/>
        </w:rPr>
        <w:t> </w:t>
      </w:r>
      <w:r>
        <w:rPr/>
        <w:t>a</w:t>
      </w:r>
      <w:r>
        <w:rPr>
          <w:spacing w:val="-1"/>
        </w:rPr>
        <w:t> </w:t>
      </w:r>
      <w:r>
        <w:rPr/>
        <w:t>la</w:t>
      </w:r>
      <w:r>
        <w:rPr>
          <w:spacing w:val="-1"/>
        </w:rPr>
        <w:t> </w:t>
      </w:r>
      <w:r>
        <w:rPr/>
        <w:t>amortización</w:t>
      </w:r>
      <w:r>
        <w:rPr>
          <w:spacing w:val="-1"/>
        </w:rPr>
        <w:t> </w:t>
      </w:r>
      <w:r>
        <w:rPr/>
        <w:t>en el porcentaje en que el elemento patrimonial se encuentre afecto a la realización de dicha </w:t>
      </w:r>
      <w:r>
        <w:rPr>
          <w:spacing w:val="-2"/>
        </w:rPr>
        <w:t>actividad.</w:t>
      </w:r>
    </w:p>
    <w:p>
      <w:pPr>
        <w:pStyle w:val="ListParagraph"/>
        <w:numPr>
          <w:ilvl w:val="1"/>
          <w:numId w:val="5"/>
        </w:numPr>
        <w:tabs>
          <w:tab w:pos="876" w:val="left" w:leader="none"/>
        </w:tabs>
        <w:spacing w:line="249" w:lineRule="auto" w:before="4" w:after="0"/>
        <w:ind w:left="255" w:right="1105" w:firstLine="340"/>
        <w:jc w:val="both"/>
        <w:rPr>
          <w:sz w:val="20"/>
        </w:rPr>
      </w:pPr>
      <w:r>
        <w:rPr>
          <w:sz w:val="20"/>
        </w:rPr>
        <w:t>Las cantidades que constituyan aplicación de resultados y, en particular, de los excedentes de explotaciones económicas no exentas.</w:t>
      </w:r>
    </w:p>
    <w:p>
      <w:pPr>
        <w:spacing w:before="228"/>
        <w:ind w:left="255" w:right="0" w:firstLine="0"/>
        <w:jc w:val="left"/>
        <w:rPr>
          <w:i/>
          <w:sz w:val="20"/>
        </w:rPr>
      </w:pPr>
      <w:bookmarkStart w:name="Artículo 9. Normas de valoración." w:id="28"/>
      <w:bookmarkEnd w:id="28"/>
      <w:r>
        <w:rPr/>
      </w:r>
      <w:bookmarkStart w:name="_bookmark13" w:id="29"/>
      <w:bookmarkEnd w:id="29"/>
      <w:r>
        <w:rPr/>
      </w:r>
      <w:r>
        <w:rPr>
          <w:b/>
          <w:sz w:val="20"/>
        </w:rPr>
        <w:t>Artículo</w:t>
      </w:r>
      <w:r>
        <w:rPr>
          <w:b/>
          <w:spacing w:val="-3"/>
          <w:sz w:val="20"/>
        </w:rPr>
        <w:t> </w:t>
      </w:r>
      <w:r>
        <w:rPr>
          <w:b/>
          <w:sz w:val="20"/>
        </w:rPr>
        <w:t>9.</w:t>
      </w:r>
      <w:r>
        <w:rPr>
          <w:b/>
          <w:spacing w:val="54"/>
          <w:sz w:val="20"/>
        </w:rPr>
        <w:t> </w:t>
      </w:r>
      <w:r>
        <w:rPr>
          <w:i/>
          <w:sz w:val="20"/>
        </w:rPr>
        <w:t>Normas de </w:t>
      </w:r>
      <w:r>
        <w:rPr>
          <w:i/>
          <w:spacing w:val="-2"/>
          <w:sz w:val="20"/>
        </w:rPr>
        <w:t>valoración.</w:t>
      </w:r>
    </w:p>
    <w:p>
      <w:pPr>
        <w:pStyle w:val="BodyText"/>
        <w:spacing w:line="249" w:lineRule="auto" w:before="123"/>
        <w:ind w:right="1103"/>
      </w:pPr>
      <w:r>
        <w:rPr/>
        <w:t>Los bienes y derechos integrantes del patrimonio resultante de la disolución de una entidad sin fines lucrativos que se transmitan a otra entidad sin fines lucrativos, en aplicación de lo previsto en el número 6.º del artículo 3 de esta Ley, se valorarán en la adquirente, a efectos fiscales, por los mismos valores que tenían en la entidad disuelta antes de realizarse la transmisión, manteniéndose igualmente la fecha de adquisición por parte de la entidad </w:t>
      </w:r>
      <w:r>
        <w:rPr>
          <w:spacing w:val="-2"/>
        </w:rPr>
        <w:t>disuelta.</w:t>
      </w:r>
    </w:p>
    <w:p>
      <w:pPr>
        <w:pStyle w:val="BodyText"/>
        <w:ind w:left="0" w:firstLine="0"/>
        <w:jc w:val="left"/>
      </w:pPr>
    </w:p>
    <w:p>
      <w:pPr>
        <w:spacing w:before="0"/>
        <w:ind w:left="255" w:right="0" w:firstLine="0"/>
        <w:jc w:val="left"/>
        <w:rPr>
          <w:i/>
          <w:sz w:val="20"/>
        </w:rPr>
      </w:pPr>
      <w:bookmarkStart w:name="Artículo 10. Tipo de gravamen." w:id="30"/>
      <w:bookmarkEnd w:id="30"/>
      <w:r>
        <w:rPr/>
      </w:r>
      <w:bookmarkStart w:name="_bookmark14" w:id="31"/>
      <w:bookmarkEnd w:id="31"/>
      <w:r>
        <w:rPr/>
      </w:r>
      <w:r>
        <w:rPr>
          <w:b/>
          <w:sz w:val="20"/>
        </w:rPr>
        <w:t>Artículo</w:t>
      </w:r>
      <w:r>
        <w:rPr>
          <w:b/>
          <w:spacing w:val="-1"/>
          <w:sz w:val="20"/>
        </w:rPr>
        <w:t> </w:t>
      </w:r>
      <w:r>
        <w:rPr>
          <w:b/>
          <w:sz w:val="20"/>
        </w:rPr>
        <w:t>10.</w:t>
      </w:r>
      <w:r>
        <w:rPr>
          <w:b/>
          <w:spacing w:val="52"/>
          <w:sz w:val="20"/>
        </w:rPr>
        <w:t> </w:t>
      </w:r>
      <w:r>
        <w:rPr>
          <w:i/>
          <w:sz w:val="20"/>
        </w:rPr>
        <w:t>Tipo</w:t>
      </w:r>
      <w:r>
        <w:rPr>
          <w:i/>
          <w:spacing w:val="-1"/>
          <w:sz w:val="20"/>
        </w:rPr>
        <w:t> </w:t>
      </w:r>
      <w:r>
        <w:rPr>
          <w:i/>
          <w:sz w:val="20"/>
        </w:rPr>
        <w:t>de</w:t>
      </w:r>
      <w:r>
        <w:rPr>
          <w:i/>
          <w:spacing w:val="-1"/>
          <w:sz w:val="20"/>
        </w:rPr>
        <w:t> </w:t>
      </w:r>
      <w:r>
        <w:rPr>
          <w:i/>
          <w:spacing w:val="-2"/>
          <w:sz w:val="20"/>
        </w:rPr>
        <w:t>gravamen.</w:t>
      </w:r>
    </w:p>
    <w:p>
      <w:pPr>
        <w:pStyle w:val="BodyText"/>
        <w:spacing w:line="249" w:lineRule="auto" w:before="123"/>
        <w:ind w:right="1104"/>
      </w:pPr>
      <w:r>
        <w:rPr/>
        <w:t>La base imponible positiva que corresponda a las rentas derivadas de explotaciones económicas no exentas será gravada al tipo del 10 por 100.</w:t>
      </w:r>
    </w:p>
    <w:p>
      <w:pPr>
        <w:spacing w:before="229"/>
        <w:ind w:left="255" w:right="0" w:firstLine="0"/>
        <w:jc w:val="left"/>
        <w:rPr>
          <w:i/>
          <w:sz w:val="20"/>
        </w:rPr>
      </w:pPr>
      <w:bookmarkStart w:name="Artículo 11. Obligaciones contables." w:id="32"/>
      <w:bookmarkEnd w:id="32"/>
      <w:r>
        <w:rPr/>
      </w:r>
      <w:bookmarkStart w:name="_bookmark15" w:id="33"/>
      <w:bookmarkEnd w:id="33"/>
      <w:r>
        <w:rPr/>
      </w:r>
      <w:r>
        <w:rPr>
          <w:b/>
          <w:sz w:val="20"/>
        </w:rPr>
        <w:t>Artículo</w:t>
      </w:r>
      <w:r>
        <w:rPr>
          <w:b/>
          <w:spacing w:val="-4"/>
          <w:sz w:val="20"/>
        </w:rPr>
        <w:t> </w:t>
      </w:r>
      <w:r>
        <w:rPr>
          <w:b/>
          <w:sz w:val="20"/>
        </w:rPr>
        <w:t>11.</w:t>
      </w:r>
      <w:r>
        <w:rPr>
          <w:b/>
          <w:spacing w:val="49"/>
          <w:sz w:val="20"/>
        </w:rPr>
        <w:t> </w:t>
      </w:r>
      <w:r>
        <w:rPr>
          <w:i/>
          <w:sz w:val="20"/>
        </w:rPr>
        <w:t>Obligaciones</w:t>
      </w:r>
      <w:r>
        <w:rPr>
          <w:i/>
          <w:spacing w:val="-3"/>
          <w:sz w:val="20"/>
        </w:rPr>
        <w:t> </w:t>
      </w:r>
      <w:r>
        <w:rPr>
          <w:i/>
          <w:spacing w:val="-2"/>
          <w:sz w:val="20"/>
        </w:rPr>
        <w:t>contables.</w:t>
      </w:r>
    </w:p>
    <w:p>
      <w:pPr>
        <w:pStyle w:val="BodyText"/>
        <w:spacing w:line="249" w:lineRule="auto" w:before="123"/>
        <w:ind w:right="1104"/>
      </w:pPr>
      <w:r>
        <w:rPr/>
        <w:t>Las entidades sin fines lucrativos que obtengan rentas de explotaciones económicas no exentas del Impuesto sobre Sociedades tendrán las obligaciones contables previstas en las normas reguladoras de dicho impuesto. La contabilidad de estas entidades se llevará de tal forma que permita identificar los ingresos y gastos correspondientes a las explotaciones económicas no exentas.</w:t>
      </w:r>
    </w:p>
    <w:p>
      <w:pPr>
        <w:pStyle w:val="BodyText"/>
        <w:spacing w:before="1"/>
        <w:ind w:left="0" w:firstLine="0"/>
        <w:jc w:val="left"/>
      </w:pPr>
    </w:p>
    <w:p>
      <w:pPr>
        <w:spacing w:before="0"/>
        <w:ind w:left="255" w:right="0" w:firstLine="0"/>
        <w:jc w:val="left"/>
        <w:rPr>
          <w:i/>
          <w:sz w:val="20"/>
        </w:rPr>
      </w:pPr>
      <w:bookmarkStart w:name="Artículo 12. Rentas no sujetas a retenci" w:id="34"/>
      <w:bookmarkEnd w:id="34"/>
      <w:r>
        <w:rPr/>
      </w:r>
      <w:bookmarkStart w:name="_bookmark16" w:id="35"/>
      <w:bookmarkEnd w:id="35"/>
      <w:r>
        <w:rPr/>
      </w:r>
      <w:r>
        <w:rPr>
          <w:b/>
          <w:sz w:val="20"/>
        </w:rPr>
        <w:t>Artículo</w:t>
      </w:r>
      <w:r>
        <w:rPr>
          <w:b/>
          <w:spacing w:val="-1"/>
          <w:sz w:val="20"/>
        </w:rPr>
        <w:t> </w:t>
      </w:r>
      <w:r>
        <w:rPr>
          <w:b/>
          <w:sz w:val="20"/>
        </w:rPr>
        <w:t>12.</w:t>
      </w:r>
      <w:r>
        <w:rPr>
          <w:b/>
          <w:spacing w:val="54"/>
          <w:sz w:val="20"/>
        </w:rPr>
        <w:t> </w:t>
      </w:r>
      <w:r>
        <w:rPr>
          <w:i/>
          <w:sz w:val="20"/>
        </w:rPr>
        <w:t>Rentas no sujetas a </w:t>
      </w:r>
      <w:r>
        <w:rPr>
          <w:i/>
          <w:spacing w:val="-2"/>
          <w:sz w:val="20"/>
        </w:rPr>
        <w:t>retención.</w:t>
      </w:r>
    </w:p>
    <w:p>
      <w:pPr>
        <w:pStyle w:val="BodyText"/>
        <w:spacing w:line="249" w:lineRule="auto" w:before="124"/>
        <w:ind w:right="1106"/>
      </w:pPr>
      <w:r>
        <w:rPr/>
        <w:t>Las rentas exentas en virtud de esta Ley no estarán sometidas a retención ni ingreso a </w:t>
      </w:r>
      <w:r>
        <w:rPr>
          <w:spacing w:val="-2"/>
        </w:rPr>
        <w:t>cuenta.</w:t>
      </w:r>
    </w:p>
    <w:p>
      <w:pPr>
        <w:pStyle w:val="BodyText"/>
        <w:spacing w:line="249" w:lineRule="auto" w:before="1"/>
        <w:ind w:right="1105"/>
      </w:pPr>
      <w:r>
        <w:rPr/>
        <w:t>Reglamentariamente, se determinará el procedimiento de acreditación de las entidades sin fines lucrativos a efectos de la exclusión de la obligación de retener.</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spacing w:before="1"/>
        <w:ind w:left="255" w:right="0" w:firstLine="0"/>
        <w:jc w:val="left"/>
        <w:rPr>
          <w:i/>
          <w:sz w:val="20"/>
        </w:rPr>
      </w:pPr>
      <w:bookmarkStart w:name="Artículo 13. Obligación de declarar." w:id="36"/>
      <w:bookmarkEnd w:id="36"/>
      <w:r>
        <w:rPr/>
      </w:r>
      <w:bookmarkStart w:name="_bookmark17" w:id="37"/>
      <w:bookmarkEnd w:id="37"/>
      <w:r>
        <w:rPr/>
      </w:r>
      <w:r>
        <w:rPr>
          <w:b/>
          <w:sz w:val="20"/>
        </w:rPr>
        <w:t>Artículo</w:t>
      </w:r>
      <w:r>
        <w:rPr>
          <w:b/>
          <w:spacing w:val="-3"/>
          <w:sz w:val="20"/>
        </w:rPr>
        <w:t> </w:t>
      </w:r>
      <w:r>
        <w:rPr>
          <w:b/>
          <w:sz w:val="20"/>
        </w:rPr>
        <w:t>13.</w:t>
      </w:r>
      <w:r>
        <w:rPr>
          <w:b/>
          <w:spacing w:val="51"/>
          <w:sz w:val="20"/>
        </w:rPr>
        <w:t> </w:t>
      </w:r>
      <w:r>
        <w:rPr>
          <w:i/>
          <w:sz w:val="20"/>
        </w:rPr>
        <w:t>Obligación</w:t>
      </w:r>
      <w:r>
        <w:rPr>
          <w:i/>
          <w:spacing w:val="-2"/>
          <w:sz w:val="20"/>
        </w:rPr>
        <w:t> </w:t>
      </w:r>
      <w:r>
        <w:rPr>
          <w:i/>
          <w:sz w:val="20"/>
        </w:rPr>
        <w:t>de</w:t>
      </w:r>
      <w:r>
        <w:rPr>
          <w:i/>
          <w:spacing w:val="-2"/>
          <w:sz w:val="20"/>
        </w:rPr>
        <w:t> declarar.</w:t>
      </w:r>
    </w:p>
    <w:p>
      <w:pPr>
        <w:pStyle w:val="BodyText"/>
        <w:spacing w:line="249" w:lineRule="auto" w:before="123"/>
        <w:ind w:right="1103"/>
      </w:pPr>
      <w:r>
        <w:rPr/>
        <w:t>Las entidades que opten por el régimen fiscal establecido en este Título estarán obligadas a declarar por el Impuesto sobre Sociedades la totalidad de sus rentas, exentas y no exentas.</w:t>
      </w:r>
    </w:p>
    <w:p>
      <w:pPr>
        <w:spacing w:before="229"/>
        <w:ind w:left="255" w:right="0" w:firstLine="0"/>
        <w:jc w:val="left"/>
        <w:rPr>
          <w:i/>
          <w:sz w:val="20"/>
        </w:rPr>
      </w:pPr>
      <w:bookmarkStart w:name="Artículo 14. Aplicación del régimen fisc" w:id="38"/>
      <w:bookmarkEnd w:id="38"/>
      <w:r>
        <w:rPr/>
      </w:r>
      <w:bookmarkStart w:name="_bookmark18" w:id="39"/>
      <w:bookmarkEnd w:id="39"/>
      <w:r>
        <w:rPr/>
      </w:r>
      <w:r>
        <w:rPr>
          <w:b/>
          <w:sz w:val="20"/>
        </w:rPr>
        <w:t>Artículo</w:t>
      </w:r>
      <w:r>
        <w:rPr>
          <w:b/>
          <w:spacing w:val="-4"/>
          <w:sz w:val="20"/>
        </w:rPr>
        <w:t> </w:t>
      </w:r>
      <w:r>
        <w:rPr>
          <w:b/>
          <w:sz w:val="20"/>
        </w:rPr>
        <w:t>14.</w:t>
      </w:r>
      <w:r>
        <w:rPr>
          <w:b/>
          <w:spacing w:val="48"/>
          <w:sz w:val="20"/>
        </w:rPr>
        <w:t> </w:t>
      </w:r>
      <w:r>
        <w:rPr>
          <w:i/>
          <w:sz w:val="20"/>
        </w:rPr>
        <w:t>Aplicación</w:t>
      </w:r>
      <w:r>
        <w:rPr>
          <w:i/>
          <w:spacing w:val="-3"/>
          <w:sz w:val="20"/>
        </w:rPr>
        <w:t> </w:t>
      </w:r>
      <w:r>
        <w:rPr>
          <w:i/>
          <w:sz w:val="20"/>
        </w:rPr>
        <w:t>del</w:t>
      </w:r>
      <w:r>
        <w:rPr>
          <w:i/>
          <w:spacing w:val="-3"/>
          <w:sz w:val="20"/>
        </w:rPr>
        <w:t> </w:t>
      </w:r>
      <w:r>
        <w:rPr>
          <w:i/>
          <w:sz w:val="20"/>
        </w:rPr>
        <w:t>régimen</w:t>
      </w:r>
      <w:r>
        <w:rPr>
          <w:i/>
          <w:spacing w:val="-3"/>
          <w:sz w:val="20"/>
        </w:rPr>
        <w:t> </w:t>
      </w:r>
      <w:r>
        <w:rPr>
          <w:i/>
          <w:sz w:val="20"/>
        </w:rPr>
        <w:t>fiscal</w:t>
      </w:r>
      <w:r>
        <w:rPr>
          <w:i/>
          <w:spacing w:val="-3"/>
          <w:sz w:val="20"/>
        </w:rPr>
        <w:t> </w:t>
      </w:r>
      <w:r>
        <w:rPr>
          <w:i/>
          <w:spacing w:val="-2"/>
          <w:sz w:val="20"/>
        </w:rPr>
        <w:t>especial.</w:t>
      </w:r>
    </w:p>
    <w:p>
      <w:pPr>
        <w:pStyle w:val="ListParagraph"/>
        <w:numPr>
          <w:ilvl w:val="0"/>
          <w:numId w:val="6"/>
        </w:numPr>
        <w:tabs>
          <w:tab w:pos="901" w:val="left" w:leader="none"/>
        </w:tabs>
        <w:spacing w:line="249" w:lineRule="auto" w:before="124" w:after="0"/>
        <w:ind w:left="255" w:right="1105" w:firstLine="340"/>
        <w:jc w:val="both"/>
        <w:rPr>
          <w:sz w:val="20"/>
        </w:rPr>
      </w:pPr>
      <w:r>
        <w:rPr>
          <w:sz w:val="20"/>
        </w:rPr>
        <w:t>Las entidades sin fines lucrativos podrán acogerse al régimen fiscal especial establecido en este Título en el plazo y en la forma que reglamentariamente se establezca.</w:t>
      </w:r>
    </w:p>
    <w:p>
      <w:pPr>
        <w:pStyle w:val="BodyText"/>
        <w:spacing w:line="249" w:lineRule="auto" w:before="1"/>
        <w:ind w:right="1104"/>
      </w:pPr>
      <w:r>
        <w:rPr/>
        <w:t>Ejercitada la opción, la entidad quedará vinculada a este régimen de forma indefinida durante los períodos impositivos siguientes, en tanto se cumplan los requisitos del artículo 3 de esta Ley y mientras no se renuncie a su aplicación en la forma que reglamentariamente</w:t>
      </w:r>
      <w:r>
        <w:rPr>
          <w:spacing w:val="40"/>
        </w:rPr>
        <w:t> </w:t>
      </w:r>
      <w:r>
        <w:rPr/>
        <w:t>se establezca.</w:t>
      </w:r>
    </w:p>
    <w:p>
      <w:pPr>
        <w:pStyle w:val="ListParagraph"/>
        <w:numPr>
          <w:ilvl w:val="0"/>
          <w:numId w:val="6"/>
        </w:numPr>
        <w:tabs>
          <w:tab w:pos="839" w:val="left" w:leader="none"/>
        </w:tabs>
        <w:spacing w:line="249" w:lineRule="auto" w:before="4" w:after="0"/>
        <w:ind w:left="255" w:right="1103" w:firstLine="340"/>
        <w:jc w:val="both"/>
        <w:rPr>
          <w:sz w:val="20"/>
        </w:rPr>
      </w:pPr>
      <w:r>
        <w:rPr>
          <w:sz w:val="20"/>
        </w:rPr>
        <w:t>La aplicación del régimen fiscal especial estará condicionada al cumplimiento de los requisitos y supuestos de hecho relativos al mismo, que deberán ser probados por la</w:t>
      </w:r>
      <w:r>
        <w:rPr>
          <w:spacing w:val="80"/>
          <w:sz w:val="20"/>
        </w:rPr>
        <w:t> </w:t>
      </w:r>
      <w:r>
        <w:rPr>
          <w:spacing w:val="-2"/>
          <w:sz w:val="20"/>
        </w:rPr>
        <w:t>entidad.</w:t>
      </w:r>
    </w:p>
    <w:p>
      <w:pPr>
        <w:pStyle w:val="ListParagraph"/>
        <w:numPr>
          <w:ilvl w:val="0"/>
          <w:numId w:val="6"/>
        </w:numPr>
        <w:tabs>
          <w:tab w:pos="895" w:val="left" w:leader="none"/>
        </w:tabs>
        <w:spacing w:line="249" w:lineRule="auto" w:before="2" w:after="0"/>
        <w:ind w:left="255" w:right="1103" w:firstLine="340"/>
        <w:jc w:val="both"/>
        <w:rPr>
          <w:sz w:val="20"/>
        </w:rPr>
      </w:pPr>
      <w:r>
        <w:rPr>
          <w:sz w:val="20"/>
        </w:rPr>
        <w:t>El incumplimiento de los requisitos establecidos en el artículo 3 de esta Ley determinará para la entidad la obligación de ingresar la totalidad de las cuotas correspondientes al ejercicio en que se produzca el incumplimiento por el Impuesto sobre Sociedades, los tributos locales y el Impuesto sobre Transmisiones Patrimoniales y Actos Jurídicos Documentados, de acuerdo con la normativa reguladora de estos tributos, junto</w:t>
      </w:r>
      <w:r>
        <w:rPr>
          <w:spacing w:val="40"/>
          <w:sz w:val="20"/>
        </w:rPr>
        <w:t> </w:t>
      </w:r>
      <w:r>
        <w:rPr>
          <w:sz w:val="20"/>
        </w:rPr>
        <w:t>con los intereses de demora que procedan.</w:t>
      </w:r>
    </w:p>
    <w:p>
      <w:pPr>
        <w:pStyle w:val="BodyText"/>
        <w:spacing w:line="249" w:lineRule="auto" w:before="5"/>
        <w:ind w:right="1104"/>
      </w:pPr>
      <w:r>
        <w:rPr/>
        <w:t>La obligación establecida en este apartado se referirá a las cuotas correspondientes al ejercicio en que se obtuvieron los resultados e ingresos no aplicados correctamente, cuando se trate del requisito establecido en el número 2.º del artículo 3 de esta Ley, y a las cuotas correspondientes al ejercicio en que se produzca el incumplimiento y a los cuatro anteriores, cuando se trate del establecido en el número 6.º del mismo artículo, sin perjuicio de las sanciones que, en su caso, procedan.</w:t>
      </w:r>
    </w:p>
    <w:p>
      <w:pPr>
        <w:pStyle w:val="BodyText"/>
        <w:spacing w:before="115"/>
        <w:ind w:left="0" w:firstLine="0"/>
        <w:jc w:val="left"/>
      </w:pPr>
    </w:p>
    <w:p>
      <w:pPr>
        <w:pStyle w:val="BodyText"/>
        <w:spacing w:before="0"/>
        <w:ind w:left="1863" w:right="2712" w:firstLine="0"/>
        <w:jc w:val="center"/>
      </w:pPr>
      <w:bookmarkStart w:name="CAPÍTULO III. Tributos locales" w:id="40"/>
      <w:bookmarkEnd w:id="40"/>
      <w:r>
        <w:rPr/>
      </w:r>
      <w:bookmarkStart w:name="_bookmark19" w:id="41"/>
      <w:bookmarkEnd w:id="41"/>
      <w:r>
        <w:rPr/>
      </w:r>
      <w:r>
        <w:rPr/>
        <w:t>CAPÍTULO </w:t>
      </w:r>
      <w:r>
        <w:rPr>
          <w:spacing w:val="-5"/>
        </w:rPr>
        <w:t>III</w:t>
      </w:r>
    </w:p>
    <w:p>
      <w:pPr>
        <w:pStyle w:val="Heading2"/>
        <w:ind w:right="2713"/>
      </w:pPr>
      <w:r>
        <w:rPr>
          <w:spacing w:val="-2"/>
        </w:rPr>
        <w:t>Tributos</w:t>
      </w:r>
      <w:r>
        <w:rPr>
          <w:spacing w:val="-1"/>
        </w:rPr>
        <w:t> </w:t>
      </w:r>
      <w:r>
        <w:rPr>
          <w:spacing w:val="-2"/>
        </w:rPr>
        <w:t>locales</w:t>
      </w:r>
    </w:p>
    <w:p>
      <w:pPr>
        <w:pStyle w:val="BodyText"/>
        <w:spacing w:before="7"/>
        <w:ind w:left="0" w:firstLine="0"/>
        <w:jc w:val="left"/>
        <w:rPr>
          <w:b/>
        </w:rPr>
      </w:pPr>
    </w:p>
    <w:p>
      <w:pPr>
        <w:spacing w:before="0"/>
        <w:ind w:left="255" w:right="0" w:firstLine="0"/>
        <w:jc w:val="left"/>
        <w:rPr>
          <w:i/>
          <w:sz w:val="20"/>
        </w:rPr>
      </w:pPr>
      <w:bookmarkStart w:name="Artículo 15. Tributos locales." w:id="42"/>
      <w:bookmarkEnd w:id="42"/>
      <w:r>
        <w:rPr/>
      </w:r>
      <w:bookmarkStart w:name="_bookmark20" w:id="43"/>
      <w:bookmarkEnd w:id="43"/>
      <w:r>
        <w:rPr/>
      </w:r>
      <w:r>
        <w:rPr>
          <w:b/>
          <w:sz w:val="20"/>
        </w:rPr>
        <w:t>Artículo</w:t>
      </w:r>
      <w:r>
        <w:rPr>
          <w:b/>
          <w:spacing w:val="-4"/>
          <w:sz w:val="20"/>
        </w:rPr>
        <w:t> </w:t>
      </w:r>
      <w:r>
        <w:rPr>
          <w:b/>
          <w:sz w:val="20"/>
        </w:rPr>
        <w:t>15.</w:t>
      </w:r>
      <w:r>
        <w:rPr>
          <w:b/>
          <w:spacing w:val="46"/>
          <w:sz w:val="20"/>
        </w:rPr>
        <w:t> </w:t>
      </w:r>
      <w:r>
        <w:rPr>
          <w:i/>
          <w:sz w:val="20"/>
        </w:rPr>
        <w:t>Tributos</w:t>
      </w:r>
      <w:r>
        <w:rPr>
          <w:i/>
          <w:spacing w:val="-3"/>
          <w:sz w:val="20"/>
        </w:rPr>
        <w:t> </w:t>
      </w:r>
      <w:r>
        <w:rPr>
          <w:i/>
          <w:spacing w:val="-2"/>
          <w:sz w:val="20"/>
        </w:rPr>
        <w:t>locales.</w:t>
      </w:r>
    </w:p>
    <w:p>
      <w:pPr>
        <w:pStyle w:val="ListParagraph"/>
        <w:numPr>
          <w:ilvl w:val="0"/>
          <w:numId w:val="7"/>
        </w:numPr>
        <w:tabs>
          <w:tab w:pos="850" w:val="left" w:leader="none"/>
        </w:tabs>
        <w:spacing w:line="249" w:lineRule="auto" w:before="124" w:after="0"/>
        <w:ind w:left="255" w:right="1103" w:firstLine="340"/>
        <w:jc w:val="both"/>
        <w:rPr>
          <w:sz w:val="20"/>
        </w:rPr>
      </w:pPr>
      <w:r>
        <w:rPr>
          <w:sz w:val="20"/>
        </w:rPr>
        <w:t>Estarán exentos del Impuesto sobre Bienes Inmuebles los bienes de los que sean titulares, en los términos previstos en la normativa reguladora de las Haciendas Locales, las entidades sin fines lucrativos, excepto los afectos a explotaciones económicas no exentas</w:t>
      </w:r>
      <w:r>
        <w:rPr>
          <w:spacing w:val="40"/>
          <w:sz w:val="20"/>
        </w:rPr>
        <w:t> </w:t>
      </w:r>
      <w:r>
        <w:rPr>
          <w:sz w:val="20"/>
        </w:rPr>
        <w:t>del Impuesto sobre Sociedades.</w:t>
      </w:r>
    </w:p>
    <w:p>
      <w:pPr>
        <w:pStyle w:val="ListParagraph"/>
        <w:numPr>
          <w:ilvl w:val="0"/>
          <w:numId w:val="7"/>
        </w:numPr>
        <w:tabs>
          <w:tab w:pos="858" w:val="left" w:leader="none"/>
        </w:tabs>
        <w:spacing w:line="249" w:lineRule="auto" w:before="3" w:after="0"/>
        <w:ind w:left="255" w:right="1104" w:firstLine="340"/>
        <w:jc w:val="both"/>
        <w:rPr>
          <w:sz w:val="20"/>
        </w:rPr>
      </w:pPr>
      <w:r>
        <w:rPr>
          <w:sz w:val="20"/>
        </w:rPr>
        <w:t>Las entidades sin fines lucrativos estarán exentas del Impuesto sobre Actividades Económicas por las explotaciones económicas a que se refiere el artículo 7 de esta Ley. No obstante, dichas entidades deberán presentar declaración de alta en la matrícula de este impuesto y declaración de baja en caso de cese en la actividad.</w:t>
      </w:r>
    </w:p>
    <w:p>
      <w:pPr>
        <w:pStyle w:val="ListParagraph"/>
        <w:numPr>
          <w:ilvl w:val="0"/>
          <w:numId w:val="7"/>
        </w:numPr>
        <w:tabs>
          <w:tab w:pos="874" w:val="left" w:leader="none"/>
        </w:tabs>
        <w:spacing w:line="249" w:lineRule="auto" w:before="3" w:after="0"/>
        <w:ind w:left="255" w:right="1104" w:firstLine="340"/>
        <w:jc w:val="both"/>
        <w:rPr>
          <w:sz w:val="20"/>
        </w:rPr>
      </w:pPr>
      <w:r>
        <w:rPr>
          <w:sz w:val="20"/>
        </w:rPr>
        <w:t>Estarán exentos del Impuesto sobre el Incremento de Valor de los Terrenos de Naturaleza</w:t>
      </w:r>
      <w:r>
        <w:rPr>
          <w:spacing w:val="-3"/>
          <w:sz w:val="20"/>
        </w:rPr>
        <w:t> </w:t>
      </w:r>
      <w:r>
        <w:rPr>
          <w:sz w:val="20"/>
        </w:rPr>
        <w:t>Urbana</w:t>
      </w:r>
      <w:r>
        <w:rPr>
          <w:spacing w:val="-3"/>
          <w:sz w:val="20"/>
        </w:rPr>
        <w:t> </w:t>
      </w:r>
      <w:r>
        <w:rPr>
          <w:sz w:val="20"/>
        </w:rPr>
        <w:t>los</w:t>
      </w:r>
      <w:r>
        <w:rPr>
          <w:spacing w:val="-3"/>
          <w:sz w:val="20"/>
        </w:rPr>
        <w:t> </w:t>
      </w:r>
      <w:r>
        <w:rPr>
          <w:sz w:val="20"/>
        </w:rPr>
        <w:t>incrementos</w:t>
      </w:r>
      <w:r>
        <w:rPr>
          <w:spacing w:val="-3"/>
          <w:sz w:val="20"/>
        </w:rPr>
        <w:t> </w:t>
      </w:r>
      <w:r>
        <w:rPr>
          <w:sz w:val="20"/>
        </w:rPr>
        <w:t>correspondientes</w:t>
      </w:r>
      <w:r>
        <w:rPr>
          <w:spacing w:val="-3"/>
          <w:sz w:val="20"/>
        </w:rPr>
        <w:t> </w:t>
      </w:r>
      <w:r>
        <w:rPr>
          <w:sz w:val="20"/>
        </w:rPr>
        <w:t>cuando</w:t>
      </w:r>
      <w:r>
        <w:rPr>
          <w:spacing w:val="-3"/>
          <w:sz w:val="20"/>
        </w:rPr>
        <w:t> </w:t>
      </w:r>
      <w:r>
        <w:rPr>
          <w:sz w:val="20"/>
        </w:rPr>
        <w:t>la</w:t>
      </w:r>
      <w:r>
        <w:rPr>
          <w:spacing w:val="-3"/>
          <w:sz w:val="20"/>
        </w:rPr>
        <w:t> </w:t>
      </w:r>
      <w:r>
        <w:rPr>
          <w:sz w:val="20"/>
        </w:rPr>
        <w:t>obligación</w:t>
      </w:r>
      <w:r>
        <w:rPr>
          <w:spacing w:val="-3"/>
          <w:sz w:val="20"/>
        </w:rPr>
        <w:t> </w:t>
      </w:r>
      <w:r>
        <w:rPr>
          <w:sz w:val="20"/>
        </w:rPr>
        <w:t>legal</w:t>
      </w:r>
      <w:r>
        <w:rPr>
          <w:spacing w:val="-3"/>
          <w:sz w:val="20"/>
        </w:rPr>
        <w:t> </w:t>
      </w:r>
      <w:r>
        <w:rPr>
          <w:sz w:val="20"/>
        </w:rPr>
        <w:t>de</w:t>
      </w:r>
      <w:r>
        <w:rPr>
          <w:spacing w:val="-3"/>
          <w:sz w:val="20"/>
        </w:rPr>
        <w:t> </w:t>
      </w:r>
      <w:r>
        <w:rPr>
          <w:sz w:val="20"/>
        </w:rPr>
        <w:t>satisfacer dicho impuesto recaiga sobre una entidad sin fines lucrativos.</w:t>
      </w:r>
    </w:p>
    <w:p>
      <w:pPr>
        <w:pStyle w:val="BodyText"/>
        <w:spacing w:line="249" w:lineRule="auto" w:before="3"/>
        <w:ind w:right="1104"/>
      </w:pPr>
      <w:r>
        <w:rPr/>
        <w:t>En</w:t>
      </w:r>
      <w:r>
        <w:rPr>
          <w:spacing w:val="-1"/>
        </w:rPr>
        <w:t> </w:t>
      </w:r>
      <w:r>
        <w:rPr/>
        <w:t>el</w:t>
      </w:r>
      <w:r>
        <w:rPr>
          <w:spacing w:val="-1"/>
        </w:rPr>
        <w:t> </w:t>
      </w:r>
      <w:r>
        <w:rPr/>
        <w:t>supuesto</w:t>
      </w:r>
      <w:r>
        <w:rPr>
          <w:spacing w:val="-1"/>
        </w:rPr>
        <w:t> </w:t>
      </w:r>
      <w:r>
        <w:rPr/>
        <w:t>de</w:t>
      </w:r>
      <w:r>
        <w:rPr>
          <w:spacing w:val="-1"/>
        </w:rPr>
        <w:t> </w:t>
      </w:r>
      <w:r>
        <w:rPr/>
        <w:t>transmisiones</w:t>
      </w:r>
      <w:r>
        <w:rPr>
          <w:spacing w:val="-1"/>
        </w:rPr>
        <w:t> </w:t>
      </w:r>
      <w:r>
        <w:rPr/>
        <w:t>de</w:t>
      </w:r>
      <w:r>
        <w:rPr>
          <w:spacing w:val="-1"/>
        </w:rPr>
        <w:t> </w:t>
      </w:r>
      <w:r>
        <w:rPr/>
        <w:t>terrenos</w:t>
      </w:r>
      <w:r>
        <w:rPr>
          <w:spacing w:val="-1"/>
        </w:rPr>
        <w:t> </w:t>
      </w:r>
      <w:r>
        <w:rPr/>
        <w:t>o</w:t>
      </w:r>
      <w:r>
        <w:rPr>
          <w:spacing w:val="-1"/>
        </w:rPr>
        <w:t> </w:t>
      </w:r>
      <w:r>
        <w:rPr/>
        <w:t>de</w:t>
      </w:r>
      <w:r>
        <w:rPr>
          <w:spacing w:val="-1"/>
        </w:rPr>
        <w:t> </w:t>
      </w:r>
      <w:r>
        <w:rPr/>
        <w:t>constitución</w:t>
      </w:r>
      <w:r>
        <w:rPr>
          <w:spacing w:val="-1"/>
        </w:rPr>
        <w:t> </w:t>
      </w:r>
      <w:r>
        <w:rPr/>
        <w:t>o</w:t>
      </w:r>
      <w:r>
        <w:rPr>
          <w:spacing w:val="-1"/>
        </w:rPr>
        <w:t> </w:t>
      </w:r>
      <w:r>
        <w:rPr/>
        <w:t>transmisión</w:t>
      </w:r>
      <w:r>
        <w:rPr>
          <w:spacing w:val="-1"/>
        </w:rPr>
        <w:t> </w:t>
      </w:r>
      <w:r>
        <w:rPr/>
        <w:t>de</w:t>
      </w:r>
      <w:r>
        <w:rPr>
          <w:spacing w:val="-1"/>
        </w:rPr>
        <w:t> </w:t>
      </w:r>
      <w:r>
        <w:rPr/>
        <w:t>derechos reales de goce limitativos del dominio sobre los mismos, efectuadas a título oneroso por una entidad sin fines lucrativos, la exención en el referido impuesto estará condicionada a que tales terrenos cumplan, en el momento del devengo del impuesto y con independencia del destino al que los adscriba el adquirente, los requisitos establecidos para aplicar la exención en el Impuesto sobre Bienes Inmuebles.</w:t>
      </w:r>
    </w:p>
    <w:p>
      <w:pPr>
        <w:pStyle w:val="ListParagraph"/>
        <w:numPr>
          <w:ilvl w:val="0"/>
          <w:numId w:val="7"/>
        </w:numPr>
        <w:tabs>
          <w:tab w:pos="833" w:val="left" w:leader="none"/>
        </w:tabs>
        <w:spacing w:line="249" w:lineRule="auto" w:before="5" w:after="0"/>
        <w:ind w:left="255" w:right="1103" w:firstLine="340"/>
        <w:jc w:val="both"/>
        <w:rPr>
          <w:sz w:val="20"/>
        </w:rPr>
      </w:pPr>
      <w:r>
        <w:rPr>
          <w:sz w:val="20"/>
        </w:rPr>
        <w:t>La aplicación de las exenciones previstas en este artículo estará condicionada a que las</w:t>
      </w:r>
      <w:r>
        <w:rPr>
          <w:spacing w:val="-1"/>
          <w:sz w:val="20"/>
        </w:rPr>
        <w:t> </w:t>
      </w:r>
      <w:r>
        <w:rPr>
          <w:sz w:val="20"/>
        </w:rPr>
        <w:t>entidades</w:t>
      </w:r>
      <w:r>
        <w:rPr>
          <w:spacing w:val="-1"/>
          <w:sz w:val="20"/>
        </w:rPr>
        <w:t> </w:t>
      </w:r>
      <w:r>
        <w:rPr>
          <w:sz w:val="20"/>
        </w:rPr>
        <w:t>sin</w:t>
      </w:r>
      <w:r>
        <w:rPr>
          <w:spacing w:val="-1"/>
          <w:sz w:val="20"/>
        </w:rPr>
        <w:t> </w:t>
      </w:r>
      <w:r>
        <w:rPr>
          <w:sz w:val="20"/>
        </w:rPr>
        <w:t>fines</w:t>
      </w:r>
      <w:r>
        <w:rPr>
          <w:spacing w:val="-1"/>
          <w:sz w:val="20"/>
        </w:rPr>
        <w:t> </w:t>
      </w:r>
      <w:r>
        <w:rPr>
          <w:sz w:val="20"/>
        </w:rPr>
        <w:t>lucrativos</w:t>
      </w:r>
      <w:r>
        <w:rPr>
          <w:spacing w:val="-1"/>
          <w:sz w:val="20"/>
        </w:rPr>
        <w:t> </w:t>
      </w:r>
      <w:r>
        <w:rPr>
          <w:sz w:val="20"/>
        </w:rPr>
        <w:t>comuniquen</w:t>
      </w:r>
      <w:r>
        <w:rPr>
          <w:spacing w:val="-1"/>
          <w:sz w:val="20"/>
        </w:rPr>
        <w:t> </w:t>
      </w:r>
      <w:r>
        <w:rPr>
          <w:sz w:val="20"/>
        </w:rPr>
        <w:t>al</w:t>
      </w:r>
      <w:r>
        <w:rPr>
          <w:spacing w:val="-1"/>
          <w:sz w:val="20"/>
        </w:rPr>
        <w:t> </w:t>
      </w:r>
      <w:r>
        <w:rPr>
          <w:sz w:val="20"/>
        </w:rPr>
        <w:t>ayuntamiento</w:t>
      </w:r>
      <w:r>
        <w:rPr>
          <w:spacing w:val="-1"/>
          <w:sz w:val="20"/>
        </w:rPr>
        <w:t> </w:t>
      </w:r>
      <w:r>
        <w:rPr>
          <w:sz w:val="20"/>
        </w:rPr>
        <w:t>correspondiente</w:t>
      </w:r>
      <w:r>
        <w:rPr>
          <w:spacing w:val="-1"/>
          <w:sz w:val="20"/>
        </w:rPr>
        <w:t> </w:t>
      </w:r>
      <w:r>
        <w:rPr>
          <w:sz w:val="20"/>
        </w:rPr>
        <w:t>el</w:t>
      </w:r>
      <w:r>
        <w:rPr>
          <w:spacing w:val="-1"/>
          <w:sz w:val="20"/>
        </w:rPr>
        <w:t> </w:t>
      </w:r>
      <w:r>
        <w:rPr>
          <w:sz w:val="20"/>
        </w:rPr>
        <w:t>ejercicio</w:t>
      </w:r>
      <w:r>
        <w:rPr>
          <w:spacing w:val="-1"/>
          <w:sz w:val="20"/>
        </w:rPr>
        <w:t> </w:t>
      </w:r>
      <w:r>
        <w:rPr>
          <w:sz w:val="20"/>
        </w:rPr>
        <w:t>de la opción regulada en el apartado 1 del artículo anterior y al cumplimiento de los requisitos y supuestos relativos al régimen fiscal especial regulado en este Título.</w:t>
      </w:r>
    </w:p>
    <w:p>
      <w:pPr>
        <w:pStyle w:val="ListParagraph"/>
        <w:numPr>
          <w:ilvl w:val="0"/>
          <w:numId w:val="7"/>
        </w:numPr>
        <w:tabs>
          <w:tab w:pos="819" w:val="left" w:leader="none"/>
        </w:tabs>
        <w:spacing w:line="249" w:lineRule="auto" w:before="3" w:after="0"/>
        <w:ind w:left="255" w:right="1103" w:firstLine="340"/>
        <w:jc w:val="both"/>
        <w:rPr>
          <w:sz w:val="20"/>
        </w:rPr>
      </w:pPr>
      <w:r>
        <w:rPr>
          <w:sz w:val="20"/>
        </w:rPr>
        <w:t>Lo</w:t>
      </w:r>
      <w:r>
        <w:rPr>
          <w:spacing w:val="-1"/>
          <w:sz w:val="20"/>
        </w:rPr>
        <w:t> </w:t>
      </w:r>
      <w:r>
        <w:rPr>
          <w:sz w:val="20"/>
        </w:rPr>
        <w:t>dispuesto</w:t>
      </w:r>
      <w:r>
        <w:rPr>
          <w:spacing w:val="-1"/>
          <w:sz w:val="20"/>
        </w:rPr>
        <w:t> </w:t>
      </w:r>
      <w:r>
        <w:rPr>
          <w:sz w:val="20"/>
        </w:rPr>
        <w:t>en</w:t>
      </w:r>
      <w:r>
        <w:rPr>
          <w:spacing w:val="-1"/>
          <w:sz w:val="20"/>
        </w:rPr>
        <w:t> </w:t>
      </w:r>
      <w:r>
        <w:rPr>
          <w:sz w:val="20"/>
        </w:rPr>
        <w:t>este</w:t>
      </w:r>
      <w:r>
        <w:rPr>
          <w:spacing w:val="-1"/>
          <w:sz w:val="20"/>
        </w:rPr>
        <w:t> </w:t>
      </w:r>
      <w:r>
        <w:rPr>
          <w:sz w:val="20"/>
        </w:rPr>
        <w:t>artículo</w:t>
      </w:r>
      <w:r>
        <w:rPr>
          <w:spacing w:val="-1"/>
          <w:sz w:val="20"/>
        </w:rPr>
        <w:t> </w:t>
      </w:r>
      <w:r>
        <w:rPr>
          <w:sz w:val="20"/>
        </w:rPr>
        <w:t>se</w:t>
      </w:r>
      <w:r>
        <w:rPr>
          <w:spacing w:val="-1"/>
          <w:sz w:val="20"/>
        </w:rPr>
        <w:t> </w:t>
      </w:r>
      <w:r>
        <w:rPr>
          <w:sz w:val="20"/>
        </w:rPr>
        <w:t>entenderá</w:t>
      </w:r>
      <w:r>
        <w:rPr>
          <w:spacing w:val="-1"/>
          <w:sz w:val="20"/>
        </w:rPr>
        <w:t> </w:t>
      </w:r>
      <w:r>
        <w:rPr>
          <w:sz w:val="20"/>
        </w:rPr>
        <w:t>sin</w:t>
      </w:r>
      <w:r>
        <w:rPr>
          <w:spacing w:val="-1"/>
          <w:sz w:val="20"/>
        </w:rPr>
        <w:t> </w:t>
      </w:r>
      <w:r>
        <w:rPr>
          <w:sz w:val="20"/>
        </w:rPr>
        <w:t>perjuicio</w:t>
      </w:r>
      <w:r>
        <w:rPr>
          <w:spacing w:val="-1"/>
          <w:sz w:val="20"/>
        </w:rPr>
        <w:t> </w:t>
      </w:r>
      <w:r>
        <w:rPr>
          <w:sz w:val="20"/>
        </w:rPr>
        <w:t>de</w:t>
      </w:r>
      <w:r>
        <w:rPr>
          <w:spacing w:val="-1"/>
          <w:sz w:val="20"/>
        </w:rPr>
        <w:t> </w:t>
      </w:r>
      <w:r>
        <w:rPr>
          <w:sz w:val="20"/>
        </w:rPr>
        <w:t>las</w:t>
      </w:r>
      <w:r>
        <w:rPr>
          <w:spacing w:val="-1"/>
          <w:sz w:val="20"/>
        </w:rPr>
        <w:t> </w:t>
      </w:r>
      <w:r>
        <w:rPr>
          <w:sz w:val="20"/>
        </w:rPr>
        <w:t>exenciones</w:t>
      </w:r>
      <w:r>
        <w:rPr>
          <w:spacing w:val="-1"/>
          <w:sz w:val="20"/>
        </w:rPr>
        <w:t> </w:t>
      </w:r>
      <w:r>
        <w:rPr>
          <w:sz w:val="20"/>
        </w:rPr>
        <w:t>previstas</w:t>
      </w:r>
      <w:r>
        <w:rPr>
          <w:spacing w:val="-1"/>
          <w:sz w:val="20"/>
        </w:rPr>
        <w:t> </w:t>
      </w:r>
      <w:r>
        <w:rPr>
          <w:sz w:val="20"/>
        </w:rPr>
        <w:t>en el texto refundido de la Ley Reguladora de las Haciendas Locales, aprobado por el Real Decreto Legislativo 2/2004, de 5 de marzo.</w:t>
      </w:r>
    </w:p>
    <w:p>
      <w:pPr>
        <w:pStyle w:val="ListParagraph"/>
        <w:spacing w:after="0" w:line="249" w:lineRule="auto"/>
        <w:jc w:val="both"/>
        <w:rPr>
          <w:sz w:val="20"/>
        </w:rPr>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before="1"/>
        <w:ind w:left="1863" w:right="2712" w:firstLine="0"/>
        <w:jc w:val="center"/>
      </w:pPr>
      <w:bookmarkStart w:name="TÍTULO III. Incentivos fiscales al mecen" w:id="44"/>
      <w:bookmarkEnd w:id="44"/>
      <w:r>
        <w:rPr/>
      </w:r>
      <w:bookmarkStart w:name="_bookmark21" w:id="45"/>
      <w:bookmarkEnd w:id="45"/>
      <w:r>
        <w:rPr/>
      </w:r>
      <w:r>
        <w:rPr/>
        <w:t>TÍTULO </w:t>
      </w:r>
      <w:r>
        <w:rPr>
          <w:spacing w:val="-5"/>
        </w:rPr>
        <w:t>III</w:t>
      </w:r>
    </w:p>
    <w:p>
      <w:pPr>
        <w:pStyle w:val="Heading2"/>
      </w:pPr>
      <w:r>
        <w:rPr/>
        <w:t>Incentivos</w:t>
      </w:r>
      <w:r>
        <w:rPr>
          <w:spacing w:val="-6"/>
        </w:rPr>
        <w:t> </w:t>
      </w:r>
      <w:r>
        <w:rPr/>
        <w:t>fiscales</w:t>
      </w:r>
      <w:r>
        <w:rPr>
          <w:spacing w:val="-5"/>
        </w:rPr>
        <w:t> </w:t>
      </w:r>
      <w:r>
        <w:rPr/>
        <w:t>al</w:t>
      </w:r>
      <w:r>
        <w:rPr>
          <w:spacing w:val="-5"/>
        </w:rPr>
        <w:t> </w:t>
      </w:r>
      <w:r>
        <w:rPr>
          <w:spacing w:val="-2"/>
        </w:rPr>
        <w:t>mecenazgo</w:t>
      </w:r>
    </w:p>
    <w:p>
      <w:pPr>
        <w:pStyle w:val="BodyText"/>
        <w:spacing w:before="120"/>
        <w:ind w:left="0" w:firstLine="0"/>
        <w:jc w:val="left"/>
        <w:rPr>
          <w:b/>
        </w:rPr>
      </w:pPr>
    </w:p>
    <w:p>
      <w:pPr>
        <w:pStyle w:val="BodyText"/>
        <w:spacing w:before="0"/>
        <w:ind w:left="1863" w:right="2712" w:firstLine="0"/>
        <w:jc w:val="center"/>
      </w:pPr>
      <w:bookmarkStart w:name="CAPÍTULO I. Entidades beneficiarias" w:id="46"/>
      <w:bookmarkEnd w:id="46"/>
      <w:r>
        <w:rPr/>
      </w:r>
      <w:bookmarkStart w:name="_bookmark22" w:id="47"/>
      <w:bookmarkEnd w:id="47"/>
      <w:r>
        <w:rPr/>
      </w:r>
      <w:r>
        <w:rPr/>
        <w:t>CAPÍTULO </w:t>
      </w:r>
      <w:r>
        <w:rPr>
          <w:spacing w:val="-10"/>
        </w:rPr>
        <w:t>I</w:t>
      </w:r>
    </w:p>
    <w:p>
      <w:pPr>
        <w:pStyle w:val="Heading2"/>
        <w:spacing w:before="124"/>
        <w:ind w:right="2713"/>
      </w:pPr>
      <w:r>
        <w:rPr/>
        <w:t>Entidades</w:t>
      </w:r>
      <w:r>
        <w:rPr>
          <w:spacing w:val="-8"/>
        </w:rPr>
        <w:t> </w:t>
      </w:r>
      <w:r>
        <w:rPr>
          <w:spacing w:val="-2"/>
        </w:rPr>
        <w:t>beneficiarias</w:t>
      </w:r>
    </w:p>
    <w:p>
      <w:pPr>
        <w:pStyle w:val="BodyText"/>
        <w:spacing w:before="6"/>
        <w:ind w:left="0" w:firstLine="0"/>
        <w:jc w:val="left"/>
        <w:rPr>
          <w:b/>
        </w:rPr>
      </w:pPr>
    </w:p>
    <w:p>
      <w:pPr>
        <w:spacing w:before="0"/>
        <w:ind w:left="255" w:right="0" w:firstLine="0"/>
        <w:jc w:val="left"/>
        <w:rPr>
          <w:i/>
          <w:sz w:val="20"/>
        </w:rPr>
      </w:pPr>
      <w:bookmarkStart w:name="Artículo 16. Entidades beneficiarias del" w:id="48"/>
      <w:bookmarkEnd w:id="48"/>
      <w:r>
        <w:rPr/>
      </w:r>
      <w:bookmarkStart w:name="_bookmark23" w:id="49"/>
      <w:bookmarkEnd w:id="49"/>
      <w:r>
        <w:rPr/>
      </w:r>
      <w:r>
        <w:rPr>
          <w:b/>
          <w:sz w:val="20"/>
        </w:rPr>
        <w:t>Artículo</w:t>
      </w:r>
      <w:r>
        <w:rPr>
          <w:b/>
          <w:spacing w:val="-3"/>
          <w:sz w:val="20"/>
        </w:rPr>
        <w:t> </w:t>
      </w:r>
      <w:r>
        <w:rPr>
          <w:b/>
          <w:sz w:val="20"/>
        </w:rPr>
        <w:t>16.</w:t>
      </w:r>
      <w:r>
        <w:rPr>
          <w:b/>
          <w:spacing w:val="54"/>
          <w:sz w:val="20"/>
        </w:rPr>
        <w:t> </w:t>
      </w:r>
      <w:r>
        <w:rPr>
          <w:i/>
          <w:sz w:val="20"/>
        </w:rPr>
        <w:t>Entidades</w:t>
      </w:r>
      <w:r>
        <w:rPr>
          <w:i/>
          <w:spacing w:val="-1"/>
          <w:sz w:val="20"/>
        </w:rPr>
        <w:t> </w:t>
      </w:r>
      <w:r>
        <w:rPr>
          <w:i/>
          <w:sz w:val="20"/>
        </w:rPr>
        <w:t>beneficiarias del </w:t>
      </w:r>
      <w:r>
        <w:rPr>
          <w:i/>
          <w:spacing w:val="-2"/>
          <w:sz w:val="20"/>
        </w:rPr>
        <w:t>mecenazgo.</w:t>
      </w:r>
    </w:p>
    <w:p>
      <w:pPr>
        <w:pStyle w:val="BodyText"/>
        <w:spacing w:line="249" w:lineRule="auto" w:before="124"/>
        <w:ind w:right="1103"/>
      </w:pPr>
      <w:r>
        <w:rPr/>
        <w:t>Los incentivos fiscales previstos en este Título serán aplicables a los donativos, donaciones y aportaciones que, cumpliendo los requisitos establecidos en este Título, se hagan en favor de las siguientes entidades:</w:t>
      </w:r>
    </w:p>
    <w:p>
      <w:pPr>
        <w:pStyle w:val="ListParagraph"/>
        <w:numPr>
          <w:ilvl w:val="1"/>
          <w:numId w:val="7"/>
        </w:numPr>
        <w:tabs>
          <w:tab w:pos="884" w:val="left" w:leader="none"/>
        </w:tabs>
        <w:spacing w:line="249" w:lineRule="auto" w:before="122" w:after="0"/>
        <w:ind w:left="255" w:right="1103" w:firstLine="340"/>
        <w:jc w:val="both"/>
        <w:rPr>
          <w:sz w:val="20"/>
        </w:rPr>
      </w:pPr>
      <w:r>
        <w:rPr>
          <w:sz w:val="20"/>
        </w:rPr>
        <w:t>Las entidades sin fines lucrativos a las que sea de aplicación el régimen fiscal establecido en el Título II de esta Ley.</w:t>
      </w:r>
    </w:p>
    <w:p>
      <w:pPr>
        <w:pStyle w:val="ListParagraph"/>
        <w:numPr>
          <w:ilvl w:val="1"/>
          <w:numId w:val="7"/>
        </w:numPr>
        <w:tabs>
          <w:tab w:pos="888" w:val="left" w:leader="none"/>
        </w:tabs>
        <w:spacing w:line="249" w:lineRule="auto" w:before="2" w:after="0"/>
        <w:ind w:left="255" w:right="1102" w:firstLine="340"/>
        <w:jc w:val="both"/>
        <w:rPr>
          <w:sz w:val="20"/>
        </w:rPr>
      </w:pPr>
      <w:r>
        <w:rPr>
          <w:sz w:val="20"/>
        </w:rPr>
        <w:t>El Estado, las Comunidades Autónomas y las Entidades Locales, así como los Organismos autónomos del Estado y las entidades autónomas de carácter análogo de las Comunidades Autónomas y de las Entidades Locales.</w:t>
      </w:r>
    </w:p>
    <w:p>
      <w:pPr>
        <w:pStyle w:val="ListParagraph"/>
        <w:numPr>
          <w:ilvl w:val="1"/>
          <w:numId w:val="7"/>
        </w:numPr>
        <w:tabs>
          <w:tab w:pos="817" w:val="left" w:leader="none"/>
        </w:tabs>
        <w:spacing w:line="240" w:lineRule="auto" w:before="2" w:after="0"/>
        <w:ind w:left="817" w:right="0" w:hanging="222"/>
        <w:jc w:val="both"/>
        <w:rPr>
          <w:sz w:val="20"/>
        </w:rPr>
      </w:pPr>
      <w:r>
        <w:rPr>
          <w:sz w:val="20"/>
        </w:rPr>
        <w:t>Las universidades públicas y los colegios mayores adscritos a las </w:t>
      </w:r>
      <w:r>
        <w:rPr>
          <w:spacing w:val="-2"/>
          <w:sz w:val="20"/>
        </w:rPr>
        <w:t>mismas.</w:t>
      </w:r>
    </w:p>
    <w:p>
      <w:pPr>
        <w:pStyle w:val="ListParagraph"/>
        <w:numPr>
          <w:ilvl w:val="1"/>
          <w:numId w:val="7"/>
        </w:numPr>
        <w:tabs>
          <w:tab w:pos="877" w:val="left" w:leader="none"/>
        </w:tabs>
        <w:spacing w:line="249" w:lineRule="auto" w:before="10" w:after="0"/>
        <w:ind w:left="255" w:right="1103" w:firstLine="340"/>
        <w:jc w:val="both"/>
        <w:rPr>
          <w:sz w:val="20"/>
        </w:rPr>
      </w:pPr>
      <w:r>
        <w:rPr>
          <w:sz w:val="20"/>
        </w:rPr>
        <w:t>El Instituto Cervantes, el Institut Ramon Llull y las demás instituciones con fines análogos de las Comunidades Autónomas con lengua oficial propia.</w:t>
      </w:r>
    </w:p>
    <w:p>
      <w:pPr>
        <w:pStyle w:val="ListParagraph"/>
        <w:numPr>
          <w:ilvl w:val="1"/>
          <w:numId w:val="7"/>
        </w:numPr>
        <w:tabs>
          <w:tab w:pos="833" w:val="left" w:leader="none"/>
        </w:tabs>
        <w:spacing w:line="249" w:lineRule="auto" w:before="2" w:after="0"/>
        <w:ind w:left="255" w:right="1105" w:firstLine="340"/>
        <w:jc w:val="both"/>
        <w:rPr>
          <w:sz w:val="20"/>
        </w:rPr>
      </w:pPr>
      <w:r>
        <w:rPr>
          <w:sz w:val="20"/>
        </w:rPr>
        <w:t>Los Organismos Públicos de Investigación dependientes de la Administración General del Estado.</w:t>
      </w:r>
    </w:p>
    <w:p>
      <w:pPr>
        <w:pStyle w:val="BodyText"/>
        <w:spacing w:before="112"/>
        <w:ind w:left="0" w:firstLine="0"/>
        <w:jc w:val="left"/>
      </w:pPr>
    </w:p>
    <w:p>
      <w:pPr>
        <w:pStyle w:val="BodyText"/>
        <w:spacing w:before="0"/>
        <w:ind w:left="1863" w:right="2712" w:firstLine="0"/>
        <w:jc w:val="center"/>
      </w:pPr>
      <w:bookmarkStart w:name="CAPÍTULO II. Régimen fiscal de las donac" w:id="50"/>
      <w:bookmarkEnd w:id="50"/>
      <w:r>
        <w:rPr/>
      </w:r>
      <w:bookmarkStart w:name="_bookmark24" w:id="51"/>
      <w:bookmarkEnd w:id="51"/>
      <w:r>
        <w:rPr/>
      </w:r>
      <w:r>
        <w:rPr/>
        <w:t>CAPÍTULO </w:t>
      </w:r>
      <w:r>
        <w:rPr>
          <w:spacing w:val="-5"/>
        </w:rPr>
        <w:t>II</w:t>
      </w:r>
    </w:p>
    <w:p>
      <w:pPr>
        <w:pStyle w:val="Heading2"/>
      </w:pPr>
      <w:r>
        <w:rPr/>
        <w:t>Régimen</w:t>
      </w:r>
      <w:r>
        <w:rPr>
          <w:spacing w:val="-4"/>
        </w:rPr>
        <w:t> </w:t>
      </w:r>
      <w:r>
        <w:rPr/>
        <w:t>fiscal</w:t>
      </w:r>
      <w:r>
        <w:rPr>
          <w:spacing w:val="-2"/>
        </w:rPr>
        <w:t> </w:t>
      </w:r>
      <w:r>
        <w:rPr/>
        <w:t>de</w:t>
      </w:r>
      <w:r>
        <w:rPr>
          <w:spacing w:val="-2"/>
        </w:rPr>
        <w:t> </w:t>
      </w:r>
      <w:r>
        <w:rPr/>
        <w:t>las</w:t>
      </w:r>
      <w:r>
        <w:rPr>
          <w:spacing w:val="-2"/>
        </w:rPr>
        <w:t> </w:t>
      </w:r>
      <w:r>
        <w:rPr/>
        <w:t>donaciones</w:t>
      </w:r>
      <w:r>
        <w:rPr>
          <w:spacing w:val="-2"/>
        </w:rPr>
        <w:t> </w:t>
      </w:r>
      <w:r>
        <w:rPr/>
        <w:t>y</w:t>
      </w:r>
      <w:r>
        <w:rPr>
          <w:spacing w:val="-2"/>
        </w:rPr>
        <w:t> aportaciones</w:t>
      </w:r>
    </w:p>
    <w:p>
      <w:pPr>
        <w:pStyle w:val="BodyText"/>
        <w:spacing w:before="7"/>
        <w:ind w:left="0" w:firstLine="0"/>
        <w:jc w:val="left"/>
        <w:rPr>
          <w:b/>
        </w:rPr>
      </w:pPr>
    </w:p>
    <w:p>
      <w:pPr>
        <w:spacing w:before="0"/>
        <w:ind w:left="255" w:right="0" w:firstLine="0"/>
        <w:jc w:val="left"/>
        <w:rPr>
          <w:i/>
          <w:sz w:val="20"/>
        </w:rPr>
      </w:pPr>
      <w:bookmarkStart w:name="Artículo 17. Donativos, donaciones y apo" w:id="52"/>
      <w:bookmarkEnd w:id="52"/>
      <w:r>
        <w:rPr/>
      </w:r>
      <w:bookmarkStart w:name="_bookmark25" w:id="53"/>
      <w:bookmarkEnd w:id="53"/>
      <w:r>
        <w:rPr/>
      </w:r>
      <w:r>
        <w:rPr>
          <w:b/>
          <w:sz w:val="20"/>
        </w:rPr>
        <w:t>Artículo 17.</w:t>
      </w:r>
      <w:r>
        <w:rPr>
          <w:b/>
          <w:spacing w:val="54"/>
          <w:sz w:val="20"/>
        </w:rPr>
        <w:t> </w:t>
      </w:r>
      <w:r>
        <w:rPr>
          <w:i/>
          <w:sz w:val="20"/>
        </w:rPr>
        <w:t>Donativos, donaciones y aportaciones </w:t>
      </w:r>
      <w:r>
        <w:rPr>
          <w:i/>
          <w:spacing w:val="-2"/>
          <w:sz w:val="20"/>
        </w:rPr>
        <w:t>deducibles.</w:t>
      </w:r>
    </w:p>
    <w:p>
      <w:pPr>
        <w:pStyle w:val="ListParagraph"/>
        <w:numPr>
          <w:ilvl w:val="0"/>
          <w:numId w:val="8"/>
        </w:numPr>
        <w:tabs>
          <w:tab w:pos="859" w:val="left" w:leader="none"/>
        </w:tabs>
        <w:spacing w:line="249" w:lineRule="auto" w:before="124" w:after="0"/>
        <w:ind w:left="255" w:right="1102" w:firstLine="340"/>
        <w:jc w:val="both"/>
        <w:rPr>
          <w:sz w:val="20"/>
        </w:rPr>
      </w:pPr>
      <w:r>
        <w:rPr>
          <w:sz w:val="20"/>
        </w:rPr>
        <w:t>Darán derecho a practicar las deducciones previstas en este Título los siguientes donativos, donaciones y aportaciones irrevocables, puros y simples, realizados en favor de las entidades a las que se refiere el artículo anterior:</w:t>
      </w:r>
    </w:p>
    <w:p>
      <w:pPr>
        <w:pStyle w:val="ListParagraph"/>
        <w:numPr>
          <w:ilvl w:val="1"/>
          <w:numId w:val="8"/>
        </w:numPr>
        <w:tabs>
          <w:tab w:pos="828" w:val="left" w:leader="none"/>
        </w:tabs>
        <w:spacing w:line="240" w:lineRule="auto" w:before="122" w:after="0"/>
        <w:ind w:left="828" w:right="0" w:hanging="233"/>
        <w:jc w:val="both"/>
        <w:rPr>
          <w:sz w:val="20"/>
        </w:rPr>
      </w:pPr>
      <w:r>
        <w:rPr>
          <w:sz w:val="20"/>
        </w:rPr>
        <w:t>Donativos</w:t>
      </w:r>
      <w:r>
        <w:rPr>
          <w:spacing w:val="-1"/>
          <w:sz w:val="20"/>
        </w:rPr>
        <w:t> </w:t>
      </w:r>
      <w:r>
        <w:rPr>
          <w:sz w:val="20"/>
        </w:rPr>
        <w:t>y donaciones dinerarias, de</w:t>
      </w:r>
      <w:r>
        <w:rPr>
          <w:spacing w:val="-1"/>
          <w:sz w:val="20"/>
        </w:rPr>
        <w:t> </w:t>
      </w:r>
      <w:r>
        <w:rPr>
          <w:sz w:val="20"/>
        </w:rPr>
        <w:t>bienes o de </w:t>
      </w:r>
      <w:r>
        <w:rPr>
          <w:spacing w:val="-2"/>
          <w:sz w:val="20"/>
        </w:rPr>
        <w:t>derechos.</w:t>
      </w:r>
    </w:p>
    <w:p>
      <w:pPr>
        <w:pStyle w:val="ListParagraph"/>
        <w:numPr>
          <w:ilvl w:val="1"/>
          <w:numId w:val="8"/>
        </w:numPr>
        <w:tabs>
          <w:tab w:pos="836" w:val="left" w:leader="none"/>
        </w:tabs>
        <w:spacing w:line="249" w:lineRule="auto" w:before="10" w:after="0"/>
        <w:ind w:left="255" w:right="1105" w:firstLine="340"/>
        <w:jc w:val="both"/>
        <w:rPr>
          <w:sz w:val="20"/>
        </w:rPr>
      </w:pPr>
      <w:r>
        <w:rPr>
          <w:sz w:val="20"/>
        </w:rPr>
        <w:t>Cuotas de afiliación a asociaciones que no se correspondan con el derecho a percibir una prestación presente o futura.</w:t>
      </w:r>
    </w:p>
    <w:p>
      <w:pPr>
        <w:pStyle w:val="ListParagraph"/>
        <w:numPr>
          <w:ilvl w:val="1"/>
          <w:numId w:val="8"/>
        </w:numPr>
        <w:tabs>
          <w:tab w:pos="850" w:val="left" w:leader="none"/>
        </w:tabs>
        <w:spacing w:line="249" w:lineRule="auto" w:before="2" w:after="0"/>
        <w:ind w:left="255" w:right="1103" w:firstLine="340"/>
        <w:jc w:val="both"/>
        <w:rPr>
          <w:sz w:val="20"/>
        </w:rPr>
      </w:pPr>
      <w:r>
        <w:rPr>
          <w:sz w:val="20"/>
        </w:rPr>
        <w:t>La constitución de un derecho real de usufructo sobre bienes, derechos o valores, realizada sin contraprestación.</w:t>
      </w:r>
    </w:p>
    <w:p>
      <w:pPr>
        <w:pStyle w:val="ListParagraph"/>
        <w:numPr>
          <w:ilvl w:val="1"/>
          <w:numId w:val="8"/>
        </w:numPr>
        <w:tabs>
          <w:tab w:pos="833" w:val="left" w:leader="none"/>
        </w:tabs>
        <w:spacing w:line="249" w:lineRule="auto" w:before="1" w:after="0"/>
        <w:ind w:left="255" w:right="1104" w:firstLine="340"/>
        <w:jc w:val="both"/>
        <w:rPr>
          <w:sz w:val="20"/>
        </w:rPr>
      </w:pPr>
      <w:r>
        <w:rPr>
          <w:sz w:val="20"/>
        </w:rPr>
        <w:t>Donativos o donaciones de bienes que formen parte del Patrimonio Histórico Español, que estén inscritos en el Registro general de bienes de interés cultural o incluidos en el Inventario general a que se refiere la Ley 16/1985, de 25 de junio, del Patrimonio Histórico </w:t>
      </w:r>
      <w:r>
        <w:rPr>
          <w:spacing w:val="-2"/>
          <w:sz w:val="20"/>
        </w:rPr>
        <w:t>Español.</w:t>
      </w:r>
    </w:p>
    <w:p>
      <w:pPr>
        <w:pStyle w:val="ListParagraph"/>
        <w:numPr>
          <w:ilvl w:val="1"/>
          <w:numId w:val="8"/>
        </w:numPr>
        <w:tabs>
          <w:tab w:pos="878" w:val="left" w:leader="none"/>
        </w:tabs>
        <w:spacing w:line="249" w:lineRule="auto" w:before="4" w:after="0"/>
        <w:ind w:left="255" w:right="1104" w:firstLine="340"/>
        <w:jc w:val="both"/>
        <w:rPr>
          <w:sz w:val="20"/>
        </w:rPr>
      </w:pPr>
      <w:r>
        <w:rPr>
          <w:sz w:val="20"/>
        </w:rPr>
        <w:t>Donativos o donaciones de bienes culturales de calidad garantizada en favor de entidades</w:t>
      </w:r>
      <w:r>
        <w:rPr>
          <w:spacing w:val="-1"/>
          <w:sz w:val="20"/>
        </w:rPr>
        <w:t> </w:t>
      </w:r>
      <w:r>
        <w:rPr>
          <w:sz w:val="20"/>
        </w:rPr>
        <w:t>que</w:t>
      </w:r>
      <w:r>
        <w:rPr>
          <w:spacing w:val="-1"/>
          <w:sz w:val="20"/>
        </w:rPr>
        <w:t> </w:t>
      </w:r>
      <w:r>
        <w:rPr>
          <w:sz w:val="20"/>
        </w:rPr>
        <w:t>persigan</w:t>
      </w:r>
      <w:r>
        <w:rPr>
          <w:spacing w:val="-1"/>
          <w:sz w:val="20"/>
        </w:rPr>
        <w:t> </w:t>
      </w:r>
      <w:r>
        <w:rPr>
          <w:sz w:val="20"/>
        </w:rPr>
        <w:t>entre</w:t>
      </w:r>
      <w:r>
        <w:rPr>
          <w:spacing w:val="-1"/>
          <w:sz w:val="20"/>
        </w:rPr>
        <w:t> </w:t>
      </w:r>
      <w:r>
        <w:rPr>
          <w:sz w:val="20"/>
        </w:rPr>
        <w:t>sus</w:t>
      </w:r>
      <w:r>
        <w:rPr>
          <w:spacing w:val="-1"/>
          <w:sz w:val="20"/>
        </w:rPr>
        <w:t> </w:t>
      </w:r>
      <w:r>
        <w:rPr>
          <w:sz w:val="20"/>
        </w:rPr>
        <w:t>fines</w:t>
      </w:r>
      <w:r>
        <w:rPr>
          <w:spacing w:val="-1"/>
          <w:sz w:val="20"/>
        </w:rPr>
        <w:t> </w:t>
      </w:r>
      <w:r>
        <w:rPr>
          <w:sz w:val="20"/>
        </w:rPr>
        <w:t>la</w:t>
      </w:r>
      <w:r>
        <w:rPr>
          <w:spacing w:val="-1"/>
          <w:sz w:val="20"/>
        </w:rPr>
        <w:t> </w:t>
      </w:r>
      <w:r>
        <w:rPr>
          <w:sz w:val="20"/>
        </w:rPr>
        <w:t>realización</w:t>
      </w:r>
      <w:r>
        <w:rPr>
          <w:spacing w:val="-1"/>
          <w:sz w:val="20"/>
        </w:rPr>
        <w:t> </w:t>
      </w:r>
      <w:r>
        <w:rPr>
          <w:sz w:val="20"/>
        </w:rPr>
        <w:t>de</w:t>
      </w:r>
      <w:r>
        <w:rPr>
          <w:spacing w:val="-1"/>
          <w:sz w:val="20"/>
        </w:rPr>
        <w:t> </w:t>
      </w:r>
      <w:r>
        <w:rPr>
          <w:sz w:val="20"/>
        </w:rPr>
        <w:t>actividades</w:t>
      </w:r>
      <w:r>
        <w:rPr>
          <w:spacing w:val="-1"/>
          <w:sz w:val="20"/>
        </w:rPr>
        <w:t> </w:t>
      </w:r>
      <w:r>
        <w:rPr>
          <w:sz w:val="20"/>
        </w:rPr>
        <w:t>museísticas</w:t>
      </w:r>
      <w:r>
        <w:rPr>
          <w:spacing w:val="-1"/>
          <w:sz w:val="20"/>
        </w:rPr>
        <w:t> </w:t>
      </w:r>
      <w:r>
        <w:rPr>
          <w:sz w:val="20"/>
        </w:rPr>
        <w:t>y</w:t>
      </w:r>
      <w:r>
        <w:rPr>
          <w:spacing w:val="-1"/>
          <w:sz w:val="20"/>
        </w:rPr>
        <w:t> </w:t>
      </w:r>
      <w:r>
        <w:rPr>
          <w:sz w:val="20"/>
        </w:rPr>
        <w:t>el</w:t>
      </w:r>
      <w:r>
        <w:rPr>
          <w:spacing w:val="-1"/>
          <w:sz w:val="20"/>
        </w:rPr>
        <w:t> </w:t>
      </w:r>
      <w:r>
        <w:rPr>
          <w:sz w:val="20"/>
        </w:rPr>
        <w:t>fomento y difusión del patrimonio histórico artístico.</w:t>
      </w:r>
    </w:p>
    <w:p>
      <w:pPr>
        <w:pStyle w:val="ListParagraph"/>
        <w:numPr>
          <w:ilvl w:val="1"/>
          <w:numId w:val="8"/>
        </w:numPr>
        <w:tabs>
          <w:tab w:pos="777" w:val="left" w:leader="none"/>
        </w:tabs>
        <w:spacing w:line="249" w:lineRule="auto" w:before="2" w:after="0"/>
        <w:ind w:left="255" w:right="1104" w:firstLine="340"/>
        <w:jc w:val="both"/>
        <w:rPr>
          <w:sz w:val="20"/>
        </w:rPr>
      </w:pPr>
      <w:r>
        <w:rPr>
          <w:sz w:val="20"/>
        </w:rPr>
        <w:t>La cesión de uso de un bien mueble o inmueble, por un tiempo determinado, realizada sin contraprestación.</w:t>
      </w:r>
    </w:p>
    <w:p>
      <w:pPr>
        <w:pStyle w:val="ListParagraph"/>
        <w:numPr>
          <w:ilvl w:val="0"/>
          <w:numId w:val="8"/>
        </w:numPr>
        <w:tabs>
          <w:tab w:pos="850" w:val="left" w:leader="none"/>
        </w:tabs>
        <w:spacing w:line="249" w:lineRule="auto" w:before="122" w:after="0"/>
        <w:ind w:left="255" w:right="1103" w:firstLine="340"/>
        <w:jc w:val="both"/>
        <w:rPr>
          <w:sz w:val="20"/>
        </w:rPr>
      </w:pPr>
      <w:r>
        <w:rPr>
          <w:sz w:val="20"/>
        </w:rPr>
        <w:t>También darán derecho a deducción los donativos, donaciones y aportaciones aun cuando el donante o aportante pudiera recibir bienes o servicios, entregados o prestados por el donatario o beneficiario, de carácter simbólico, siempre y cuando el valor de los bienes o servicios</w:t>
      </w:r>
      <w:r>
        <w:rPr>
          <w:spacing w:val="-1"/>
          <w:sz w:val="20"/>
        </w:rPr>
        <w:t> </w:t>
      </w:r>
      <w:r>
        <w:rPr>
          <w:sz w:val="20"/>
        </w:rPr>
        <w:t>recibidos no represente más del 15</w:t>
      </w:r>
      <w:r>
        <w:rPr>
          <w:spacing w:val="-14"/>
          <w:sz w:val="20"/>
        </w:rPr>
        <w:t> </w:t>
      </w:r>
      <w:r>
        <w:rPr>
          <w:sz w:val="20"/>
        </w:rPr>
        <w:t>% del valor del donativo, donación o aportación y, en todo caso, no supere el importe de 25.000 euros.</w:t>
      </w:r>
    </w:p>
    <w:p>
      <w:pPr>
        <w:pStyle w:val="ListParagraph"/>
        <w:numPr>
          <w:ilvl w:val="0"/>
          <w:numId w:val="8"/>
        </w:numPr>
        <w:tabs>
          <w:tab w:pos="836" w:val="left" w:leader="none"/>
        </w:tabs>
        <w:spacing w:line="249" w:lineRule="auto" w:before="4" w:after="0"/>
        <w:ind w:left="255" w:right="1102" w:firstLine="340"/>
        <w:jc w:val="both"/>
        <w:rPr>
          <w:sz w:val="20"/>
        </w:rPr>
      </w:pPr>
      <w:r>
        <w:rPr>
          <w:sz w:val="20"/>
        </w:rPr>
        <w:t>En el caso de revocación de la donación por alguno de los supuestos contemplados</w:t>
      </w:r>
      <w:r>
        <w:rPr>
          <w:spacing w:val="40"/>
          <w:sz w:val="20"/>
        </w:rPr>
        <w:t> </w:t>
      </w:r>
      <w:r>
        <w:rPr>
          <w:sz w:val="20"/>
        </w:rPr>
        <w:t>en el Código Civil, el donante ingresará, en el período impositivo en el que dicha revocación se produzca, las cuotas correspondientes a las deducciones aplicadas, sin perjuicio de los intereses de demora que procedan.</w:t>
      </w:r>
    </w:p>
    <w:p>
      <w:pPr>
        <w:pStyle w:val="ListParagraph"/>
        <w:spacing w:after="0" w:line="249" w:lineRule="auto"/>
        <w:jc w:val="both"/>
        <w:rPr>
          <w:sz w:val="20"/>
        </w:rPr>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right="1104"/>
      </w:pPr>
      <w:r>
        <w:rPr/>
        <w:t>Lo establecido en el párrafo anterior se aplicará en los supuestos a los que se refiere el apartado 2 del artículo 23 de la Ley Orgánica 1/2002, de 22 de marzo, reguladora del Derecho de Asociación.</w:t>
      </w:r>
    </w:p>
    <w:p>
      <w:pPr>
        <w:spacing w:before="229"/>
        <w:ind w:left="255" w:right="0" w:firstLine="0"/>
        <w:jc w:val="left"/>
        <w:rPr>
          <w:i/>
          <w:sz w:val="20"/>
        </w:rPr>
      </w:pPr>
      <w:bookmarkStart w:name="Artículo 18. Base de las deducciones por" w:id="54"/>
      <w:bookmarkEnd w:id="54"/>
      <w:r>
        <w:rPr/>
      </w:r>
      <w:bookmarkStart w:name="_bookmark26" w:id="55"/>
      <w:bookmarkEnd w:id="55"/>
      <w:r>
        <w:rPr/>
      </w:r>
      <w:r>
        <w:rPr>
          <w:b/>
          <w:sz w:val="20"/>
        </w:rPr>
        <w:t>Artículo</w:t>
      </w:r>
      <w:r>
        <w:rPr>
          <w:b/>
          <w:spacing w:val="-1"/>
          <w:sz w:val="20"/>
        </w:rPr>
        <w:t> </w:t>
      </w:r>
      <w:r>
        <w:rPr>
          <w:b/>
          <w:sz w:val="20"/>
        </w:rPr>
        <w:t>18.</w:t>
      </w:r>
      <w:r>
        <w:rPr>
          <w:b/>
          <w:spacing w:val="53"/>
          <w:sz w:val="20"/>
        </w:rPr>
        <w:t> </w:t>
      </w:r>
      <w:r>
        <w:rPr>
          <w:i/>
          <w:sz w:val="20"/>
        </w:rPr>
        <w:t>Base de las</w:t>
      </w:r>
      <w:r>
        <w:rPr>
          <w:i/>
          <w:spacing w:val="-1"/>
          <w:sz w:val="20"/>
        </w:rPr>
        <w:t> </w:t>
      </w:r>
      <w:r>
        <w:rPr>
          <w:i/>
          <w:sz w:val="20"/>
        </w:rPr>
        <w:t>deducciones por donativos,</w:t>
      </w:r>
      <w:r>
        <w:rPr>
          <w:i/>
          <w:spacing w:val="-1"/>
          <w:sz w:val="20"/>
        </w:rPr>
        <w:t> </w:t>
      </w:r>
      <w:r>
        <w:rPr>
          <w:i/>
          <w:sz w:val="20"/>
        </w:rPr>
        <w:t>donaciones y </w:t>
      </w:r>
      <w:r>
        <w:rPr>
          <w:i/>
          <w:spacing w:val="-2"/>
          <w:sz w:val="20"/>
        </w:rPr>
        <w:t>aportaciones.</w:t>
      </w:r>
    </w:p>
    <w:p>
      <w:pPr>
        <w:pStyle w:val="ListParagraph"/>
        <w:numPr>
          <w:ilvl w:val="0"/>
          <w:numId w:val="9"/>
        </w:numPr>
        <w:tabs>
          <w:tab w:pos="837" w:val="left" w:leader="none"/>
        </w:tabs>
        <w:spacing w:line="249" w:lineRule="auto" w:before="123" w:after="0"/>
        <w:ind w:left="255" w:right="1104" w:firstLine="340"/>
        <w:jc w:val="both"/>
        <w:rPr>
          <w:sz w:val="20"/>
        </w:rPr>
      </w:pPr>
      <w:r>
        <w:rPr>
          <w:sz w:val="20"/>
        </w:rPr>
        <w:t>La base de las deducciones por donativos, donaciones y aportaciones realizados en favor de las entidades a las que se refiere el artículo 16 será:</w:t>
      </w:r>
    </w:p>
    <w:p>
      <w:pPr>
        <w:pStyle w:val="ListParagraph"/>
        <w:numPr>
          <w:ilvl w:val="1"/>
          <w:numId w:val="9"/>
        </w:numPr>
        <w:tabs>
          <w:tab w:pos="828" w:val="left" w:leader="none"/>
        </w:tabs>
        <w:spacing w:line="240" w:lineRule="auto" w:before="122" w:after="0"/>
        <w:ind w:left="828" w:right="0" w:hanging="233"/>
        <w:jc w:val="both"/>
        <w:rPr>
          <w:sz w:val="20"/>
        </w:rPr>
      </w:pPr>
      <w:r>
        <w:rPr>
          <w:sz w:val="20"/>
        </w:rPr>
        <w:t>En</w:t>
      </w:r>
      <w:r>
        <w:rPr>
          <w:spacing w:val="-1"/>
          <w:sz w:val="20"/>
        </w:rPr>
        <w:t> </w:t>
      </w:r>
      <w:r>
        <w:rPr>
          <w:sz w:val="20"/>
        </w:rPr>
        <w:t>los donativos</w:t>
      </w:r>
      <w:r>
        <w:rPr>
          <w:spacing w:val="-1"/>
          <w:sz w:val="20"/>
        </w:rPr>
        <w:t> </w:t>
      </w:r>
      <w:r>
        <w:rPr>
          <w:sz w:val="20"/>
        </w:rPr>
        <w:t>dinerarios, su </w:t>
      </w:r>
      <w:r>
        <w:rPr>
          <w:spacing w:val="-2"/>
          <w:sz w:val="20"/>
        </w:rPr>
        <w:t>importe.</w:t>
      </w:r>
    </w:p>
    <w:p>
      <w:pPr>
        <w:pStyle w:val="ListParagraph"/>
        <w:numPr>
          <w:ilvl w:val="1"/>
          <w:numId w:val="9"/>
        </w:numPr>
        <w:tabs>
          <w:tab w:pos="847" w:val="left" w:leader="none"/>
        </w:tabs>
        <w:spacing w:line="249" w:lineRule="auto" w:before="10" w:after="0"/>
        <w:ind w:left="255" w:right="1103" w:firstLine="340"/>
        <w:jc w:val="both"/>
        <w:rPr>
          <w:sz w:val="20"/>
        </w:rPr>
      </w:pPr>
      <w:r>
        <w:rPr>
          <w:sz w:val="20"/>
        </w:rPr>
        <w:t>En los donativos o donaciones de bienes o derechos, el valor contable que tuviesen</w:t>
      </w:r>
      <w:r>
        <w:rPr>
          <w:spacing w:val="40"/>
          <w:sz w:val="20"/>
        </w:rPr>
        <w:t> </w:t>
      </w:r>
      <w:r>
        <w:rPr>
          <w:sz w:val="20"/>
        </w:rPr>
        <w:t>en el momento de la transmisión y, en su defecto, el valor determinado conforme a las normas del Impuesto sobre el Patrimonio.</w:t>
      </w:r>
    </w:p>
    <w:p>
      <w:pPr>
        <w:pStyle w:val="ListParagraph"/>
        <w:numPr>
          <w:ilvl w:val="1"/>
          <w:numId w:val="9"/>
        </w:numPr>
        <w:tabs>
          <w:tab w:pos="824" w:val="left" w:leader="none"/>
        </w:tabs>
        <w:spacing w:line="249" w:lineRule="auto" w:before="2" w:after="0"/>
        <w:ind w:left="255" w:right="1104" w:firstLine="340"/>
        <w:jc w:val="both"/>
        <w:rPr>
          <w:sz w:val="20"/>
        </w:rPr>
      </w:pPr>
      <w:r>
        <w:rPr>
          <w:sz w:val="20"/>
        </w:rPr>
        <w:t>En la constitución de un derecho real de usufructo sobre bienes inmuebles, el importe anual que resulte de aplicar, en cada uno de los períodos impositivos de duración del usufructo, el 2</w:t>
      </w:r>
      <w:r>
        <w:rPr>
          <w:spacing w:val="-14"/>
          <w:sz w:val="20"/>
        </w:rPr>
        <w:t> </w:t>
      </w:r>
      <w:r>
        <w:rPr>
          <w:sz w:val="20"/>
        </w:rPr>
        <w:t>% al valor catastral, determinándose proporcionalmente al número de días</w:t>
      </w:r>
      <w:r>
        <w:rPr>
          <w:spacing w:val="40"/>
          <w:sz w:val="20"/>
        </w:rPr>
        <w:t> </w:t>
      </w:r>
      <w:r>
        <w:rPr>
          <w:sz w:val="20"/>
        </w:rPr>
        <w:t>que corresponda en cada período impositivo.</w:t>
      </w:r>
    </w:p>
    <w:p>
      <w:pPr>
        <w:pStyle w:val="ListParagraph"/>
        <w:numPr>
          <w:ilvl w:val="1"/>
          <w:numId w:val="9"/>
        </w:numPr>
        <w:tabs>
          <w:tab w:pos="840" w:val="left" w:leader="none"/>
        </w:tabs>
        <w:spacing w:line="249" w:lineRule="auto" w:before="4" w:after="0"/>
        <w:ind w:left="255" w:right="1104" w:firstLine="340"/>
        <w:jc w:val="both"/>
        <w:rPr>
          <w:sz w:val="20"/>
        </w:rPr>
      </w:pPr>
      <w:r>
        <w:rPr>
          <w:sz w:val="20"/>
        </w:rPr>
        <w:t>En la constitución de un derecho real de usufructo sobre valores, el importe anual de los dividendos o intereses percibidos por el usufructuario en cada uno de los períodos impositivos de duración del usufructo.</w:t>
      </w:r>
    </w:p>
    <w:p>
      <w:pPr>
        <w:pStyle w:val="ListParagraph"/>
        <w:numPr>
          <w:ilvl w:val="1"/>
          <w:numId w:val="9"/>
        </w:numPr>
        <w:tabs>
          <w:tab w:pos="845" w:val="left" w:leader="none"/>
        </w:tabs>
        <w:spacing w:line="249" w:lineRule="auto" w:before="2" w:after="0"/>
        <w:ind w:left="255" w:right="1104" w:firstLine="340"/>
        <w:jc w:val="both"/>
        <w:rPr>
          <w:sz w:val="20"/>
        </w:rPr>
      </w:pPr>
      <w:r>
        <w:rPr>
          <w:sz w:val="20"/>
        </w:rPr>
        <w:t>En la constitución de un derecho real de usufructo sobre otros bienes y derechos, el importe anual resultante de aplicar el interés legal del dinero de cada ejercicio al valor del usufructo determinado en el momento de su constitución conforme a las normas del</w:t>
      </w:r>
      <w:r>
        <w:rPr>
          <w:spacing w:val="40"/>
          <w:sz w:val="20"/>
        </w:rPr>
        <w:t> </w:t>
      </w:r>
      <w:r>
        <w:rPr>
          <w:sz w:val="20"/>
        </w:rPr>
        <w:t>Impuesto sobre Transmisiones Patrimoniales y Actos Jurídicos Documentados.</w:t>
      </w:r>
    </w:p>
    <w:p>
      <w:pPr>
        <w:pStyle w:val="ListParagraph"/>
        <w:numPr>
          <w:ilvl w:val="1"/>
          <w:numId w:val="9"/>
        </w:numPr>
        <w:tabs>
          <w:tab w:pos="776" w:val="left" w:leader="none"/>
        </w:tabs>
        <w:spacing w:line="249" w:lineRule="auto" w:before="3" w:after="0"/>
        <w:ind w:left="255" w:right="1103" w:firstLine="340"/>
        <w:jc w:val="both"/>
        <w:rPr>
          <w:sz w:val="20"/>
        </w:rPr>
      </w:pPr>
      <w:r>
        <w:rPr>
          <w:sz w:val="20"/>
        </w:rPr>
        <w:t>En los donativos o donaciones de obras de arte de calidad garantizada y de los bienes que formen parte del Patrimonio Histórico Español a que se refieren las letras c) y d) del apartado 1 del artículo 17 de esta Ley, la valoración efectuada por la Junta de Calificación, Valoración y Exportación. En el caso de los bienes culturales que no formen parte del Patrimonio Histórico Español, la Junta valorará, asimismo, la suficiencia de la calidad de la </w:t>
      </w:r>
      <w:r>
        <w:rPr>
          <w:spacing w:val="-2"/>
          <w:sz w:val="20"/>
        </w:rPr>
        <w:t>obra.</w:t>
      </w:r>
    </w:p>
    <w:p>
      <w:pPr>
        <w:pStyle w:val="ListParagraph"/>
        <w:numPr>
          <w:ilvl w:val="1"/>
          <w:numId w:val="9"/>
        </w:numPr>
        <w:tabs>
          <w:tab w:pos="860" w:val="left" w:leader="none"/>
        </w:tabs>
        <w:spacing w:line="249" w:lineRule="auto" w:before="5" w:after="0"/>
        <w:ind w:left="255" w:right="1103" w:firstLine="340"/>
        <w:jc w:val="both"/>
        <w:rPr>
          <w:sz w:val="20"/>
        </w:rPr>
      </w:pPr>
      <w:r>
        <w:rPr>
          <w:sz w:val="20"/>
        </w:rPr>
        <w:t>En la cesión de uso de un bien mueble o inmueble a que se refiere la letra f) del apartado</w:t>
      </w:r>
      <w:r>
        <w:rPr>
          <w:spacing w:val="-2"/>
          <w:sz w:val="20"/>
        </w:rPr>
        <w:t> </w:t>
      </w:r>
      <w:r>
        <w:rPr>
          <w:sz w:val="20"/>
        </w:rPr>
        <w:t>1</w:t>
      </w:r>
      <w:r>
        <w:rPr>
          <w:spacing w:val="-2"/>
          <w:sz w:val="20"/>
        </w:rPr>
        <w:t> </w:t>
      </w:r>
      <w:r>
        <w:rPr>
          <w:sz w:val="20"/>
        </w:rPr>
        <w:t>del</w:t>
      </w:r>
      <w:r>
        <w:rPr>
          <w:spacing w:val="-2"/>
          <w:sz w:val="20"/>
        </w:rPr>
        <w:t> </w:t>
      </w:r>
      <w:r>
        <w:rPr>
          <w:sz w:val="20"/>
        </w:rPr>
        <w:t>artículo</w:t>
      </w:r>
      <w:r>
        <w:rPr>
          <w:spacing w:val="-2"/>
          <w:sz w:val="20"/>
        </w:rPr>
        <w:t> </w:t>
      </w:r>
      <w:r>
        <w:rPr>
          <w:sz w:val="20"/>
        </w:rPr>
        <w:t>17,</w:t>
      </w:r>
      <w:r>
        <w:rPr>
          <w:spacing w:val="-2"/>
          <w:sz w:val="20"/>
        </w:rPr>
        <w:t> </w:t>
      </w:r>
      <w:r>
        <w:rPr>
          <w:sz w:val="20"/>
        </w:rPr>
        <w:t>el</w:t>
      </w:r>
      <w:r>
        <w:rPr>
          <w:spacing w:val="-2"/>
          <w:sz w:val="20"/>
        </w:rPr>
        <w:t> </w:t>
      </w:r>
      <w:r>
        <w:rPr>
          <w:sz w:val="20"/>
        </w:rPr>
        <w:t>importe</w:t>
      </w:r>
      <w:r>
        <w:rPr>
          <w:spacing w:val="-2"/>
          <w:sz w:val="20"/>
        </w:rPr>
        <w:t> </w:t>
      </w:r>
      <w:r>
        <w:rPr>
          <w:sz w:val="20"/>
        </w:rPr>
        <w:t>de</w:t>
      </w:r>
      <w:r>
        <w:rPr>
          <w:spacing w:val="-2"/>
          <w:sz w:val="20"/>
        </w:rPr>
        <w:t> </w:t>
      </w:r>
      <w:r>
        <w:rPr>
          <w:sz w:val="20"/>
        </w:rPr>
        <w:t>los</w:t>
      </w:r>
      <w:r>
        <w:rPr>
          <w:spacing w:val="-2"/>
          <w:sz w:val="20"/>
        </w:rPr>
        <w:t> </w:t>
      </w:r>
      <w:r>
        <w:rPr>
          <w:sz w:val="20"/>
        </w:rPr>
        <w:t>gastos</w:t>
      </w:r>
      <w:r>
        <w:rPr>
          <w:spacing w:val="-2"/>
          <w:sz w:val="20"/>
        </w:rPr>
        <w:t> </w:t>
      </w:r>
      <w:r>
        <w:rPr>
          <w:sz w:val="20"/>
        </w:rPr>
        <w:t>soportados</w:t>
      </w:r>
      <w:r>
        <w:rPr>
          <w:spacing w:val="-2"/>
          <w:sz w:val="20"/>
        </w:rPr>
        <w:t> </w:t>
      </w:r>
      <w:r>
        <w:rPr>
          <w:sz w:val="20"/>
        </w:rPr>
        <w:t>por</w:t>
      </w:r>
      <w:r>
        <w:rPr>
          <w:spacing w:val="-2"/>
          <w:sz w:val="20"/>
        </w:rPr>
        <w:t> </w:t>
      </w:r>
      <w:r>
        <w:rPr>
          <w:sz w:val="20"/>
        </w:rPr>
        <w:t>el</w:t>
      </w:r>
      <w:r>
        <w:rPr>
          <w:spacing w:val="-2"/>
          <w:sz w:val="20"/>
        </w:rPr>
        <w:t> </w:t>
      </w:r>
      <w:r>
        <w:rPr>
          <w:sz w:val="20"/>
        </w:rPr>
        <w:t>cedente</w:t>
      </w:r>
      <w:r>
        <w:rPr>
          <w:spacing w:val="-2"/>
          <w:sz w:val="20"/>
        </w:rPr>
        <w:t> </w:t>
      </w:r>
      <w:r>
        <w:rPr>
          <w:sz w:val="20"/>
        </w:rPr>
        <w:t>en</w:t>
      </w:r>
      <w:r>
        <w:rPr>
          <w:spacing w:val="-2"/>
          <w:sz w:val="20"/>
        </w:rPr>
        <w:t> </w:t>
      </w:r>
      <w:r>
        <w:rPr>
          <w:sz w:val="20"/>
        </w:rPr>
        <w:t>relación</w:t>
      </w:r>
      <w:r>
        <w:rPr>
          <w:spacing w:val="-2"/>
          <w:sz w:val="20"/>
        </w:rPr>
        <w:t> </w:t>
      </w:r>
      <w:r>
        <w:rPr>
          <w:sz w:val="20"/>
        </w:rPr>
        <w:t>con tales bienes durante el periodo de cesión, siempre que tuvieran la consideración de gastos fiscalmente deducibles de haberse cedido de forma onerosa y sean distintos de tributos y de los intereses de los capitales ajenos y demás gastos de financiación, y estén debidamente contabilizados cuando el cedente esté obligado a llevar contabilidad de acuerdo con el Código de Comercio o legislación equivalente.</w:t>
      </w:r>
    </w:p>
    <w:p>
      <w:pPr>
        <w:pStyle w:val="ListParagraph"/>
        <w:numPr>
          <w:ilvl w:val="0"/>
          <w:numId w:val="9"/>
        </w:numPr>
        <w:tabs>
          <w:tab w:pos="823" w:val="left" w:leader="none"/>
        </w:tabs>
        <w:spacing w:line="249" w:lineRule="auto" w:before="126" w:after="0"/>
        <w:ind w:left="255" w:right="1105" w:firstLine="340"/>
        <w:jc w:val="both"/>
        <w:rPr>
          <w:sz w:val="20"/>
        </w:rPr>
      </w:pPr>
      <w:r>
        <w:rPr>
          <w:sz w:val="20"/>
        </w:rPr>
        <w:t>El valor determinado de acuerdo con lo dispuesto en el apartado anterior tendrá como límite máximo el valor normal en el mercado del bien o derecho transmitido en el momento</w:t>
      </w:r>
      <w:r>
        <w:rPr>
          <w:spacing w:val="40"/>
          <w:sz w:val="20"/>
        </w:rPr>
        <w:t> </w:t>
      </w:r>
      <w:r>
        <w:rPr>
          <w:sz w:val="20"/>
        </w:rPr>
        <w:t>de su transmisión.</w:t>
      </w:r>
    </w:p>
    <w:p>
      <w:pPr>
        <w:spacing w:before="229"/>
        <w:ind w:left="255" w:right="0" w:firstLine="0"/>
        <w:jc w:val="left"/>
        <w:rPr>
          <w:i/>
          <w:sz w:val="20"/>
        </w:rPr>
      </w:pPr>
      <w:bookmarkStart w:name="Artículo 19. Deducción de la cuota del I" w:id="56"/>
      <w:bookmarkEnd w:id="56"/>
      <w:r>
        <w:rPr/>
      </w:r>
      <w:bookmarkStart w:name="_bookmark27" w:id="57"/>
      <w:bookmarkEnd w:id="57"/>
      <w:r>
        <w:rPr/>
      </w:r>
      <w:r>
        <w:rPr>
          <w:b/>
          <w:sz w:val="20"/>
        </w:rPr>
        <w:t>Artículo</w:t>
      </w:r>
      <w:r>
        <w:rPr>
          <w:b/>
          <w:spacing w:val="-3"/>
          <w:sz w:val="20"/>
        </w:rPr>
        <w:t> </w:t>
      </w:r>
      <w:r>
        <w:rPr>
          <w:b/>
          <w:sz w:val="20"/>
        </w:rPr>
        <w:t>19.</w:t>
      </w:r>
      <w:r>
        <w:rPr>
          <w:b/>
          <w:spacing w:val="50"/>
          <w:sz w:val="20"/>
        </w:rPr>
        <w:t> </w:t>
      </w:r>
      <w:r>
        <w:rPr>
          <w:i/>
          <w:sz w:val="20"/>
        </w:rPr>
        <w:t>Deducción</w:t>
      </w:r>
      <w:r>
        <w:rPr>
          <w:i/>
          <w:spacing w:val="-2"/>
          <w:sz w:val="20"/>
        </w:rPr>
        <w:t> </w:t>
      </w:r>
      <w:r>
        <w:rPr>
          <w:i/>
          <w:sz w:val="20"/>
        </w:rPr>
        <w:t>de</w:t>
      </w:r>
      <w:r>
        <w:rPr>
          <w:i/>
          <w:spacing w:val="-2"/>
          <w:sz w:val="20"/>
        </w:rPr>
        <w:t> </w:t>
      </w:r>
      <w:r>
        <w:rPr>
          <w:i/>
          <w:sz w:val="20"/>
        </w:rPr>
        <w:t>la</w:t>
      </w:r>
      <w:r>
        <w:rPr>
          <w:i/>
          <w:spacing w:val="-3"/>
          <w:sz w:val="20"/>
        </w:rPr>
        <w:t> </w:t>
      </w:r>
      <w:r>
        <w:rPr>
          <w:i/>
          <w:sz w:val="20"/>
        </w:rPr>
        <w:t>cuota</w:t>
      </w:r>
      <w:r>
        <w:rPr>
          <w:i/>
          <w:spacing w:val="-2"/>
          <w:sz w:val="20"/>
        </w:rPr>
        <w:t> </w:t>
      </w:r>
      <w:r>
        <w:rPr>
          <w:i/>
          <w:sz w:val="20"/>
        </w:rPr>
        <w:t>del</w:t>
      </w:r>
      <w:r>
        <w:rPr>
          <w:i/>
          <w:spacing w:val="-2"/>
          <w:sz w:val="20"/>
        </w:rPr>
        <w:t> </w:t>
      </w:r>
      <w:r>
        <w:rPr>
          <w:i/>
          <w:sz w:val="20"/>
        </w:rPr>
        <w:t>Impuesto</w:t>
      </w:r>
      <w:r>
        <w:rPr>
          <w:i/>
          <w:spacing w:val="-2"/>
          <w:sz w:val="20"/>
        </w:rPr>
        <w:t> </w:t>
      </w:r>
      <w:r>
        <w:rPr>
          <w:i/>
          <w:sz w:val="20"/>
        </w:rPr>
        <w:t>sobre</w:t>
      </w:r>
      <w:r>
        <w:rPr>
          <w:i/>
          <w:spacing w:val="-2"/>
          <w:sz w:val="20"/>
        </w:rPr>
        <w:t> </w:t>
      </w:r>
      <w:r>
        <w:rPr>
          <w:i/>
          <w:sz w:val="20"/>
        </w:rPr>
        <w:t>la</w:t>
      </w:r>
      <w:r>
        <w:rPr>
          <w:i/>
          <w:spacing w:val="-3"/>
          <w:sz w:val="20"/>
        </w:rPr>
        <w:t> </w:t>
      </w:r>
      <w:r>
        <w:rPr>
          <w:i/>
          <w:sz w:val="20"/>
        </w:rPr>
        <w:t>Renta</w:t>
      </w:r>
      <w:r>
        <w:rPr>
          <w:i/>
          <w:spacing w:val="-2"/>
          <w:sz w:val="20"/>
        </w:rPr>
        <w:t> </w:t>
      </w:r>
      <w:r>
        <w:rPr>
          <w:i/>
          <w:sz w:val="20"/>
        </w:rPr>
        <w:t>de</w:t>
      </w:r>
      <w:r>
        <w:rPr>
          <w:i/>
          <w:spacing w:val="-2"/>
          <w:sz w:val="20"/>
        </w:rPr>
        <w:t> </w:t>
      </w:r>
      <w:r>
        <w:rPr>
          <w:i/>
          <w:sz w:val="20"/>
        </w:rPr>
        <w:t>las</w:t>
      </w:r>
      <w:r>
        <w:rPr>
          <w:i/>
          <w:spacing w:val="-2"/>
          <w:sz w:val="20"/>
        </w:rPr>
        <w:t> </w:t>
      </w:r>
      <w:r>
        <w:rPr>
          <w:i/>
          <w:sz w:val="20"/>
        </w:rPr>
        <w:t>Personas</w:t>
      </w:r>
      <w:r>
        <w:rPr>
          <w:i/>
          <w:spacing w:val="-2"/>
          <w:sz w:val="20"/>
        </w:rPr>
        <w:t> Físicas.</w:t>
      </w:r>
    </w:p>
    <w:p>
      <w:pPr>
        <w:pStyle w:val="ListParagraph"/>
        <w:numPr>
          <w:ilvl w:val="0"/>
          <w:numId w:val="10"/>
        </w:numPr>
        <w:tabs>
          <w:tab w:pos="863" w:val="left" w:leader="none"/>
        </w:tabs>
        <w:spacing w:line="249" w:lineRule="auto" w:before="124" w:after="0"/>
        <w:ind w:left="255" w:right="1104" w:firstLine="340"/>
        <w:jc w:val="both"/>
        <w:rPr>
          <w:sz w:val="20"/>
        </w:rPr>
      </w:pPr>
      <w:r>
        <w:rPr>
          <w:sz w:val="20"/>
        </w:rPr>
        <w:t>Los contribuyentes del Impuesto sobre la Renta de las Personas Físicas tendrán derecho a deducir de la cuota íntegra el resultado de aplicar a la base de la deducción correspondiente al conjunto de donativos, donaciones y aportaciones con derecho a deducción, determinada según lo dispuesto en el artículo 18 de esta Ley, la siguiente escala:</w:t>
      </w:r>
    </w:p>
    <w:p>
      <w:pPr>
        <w:pStyle w:val="BodyText"/>
        <w:spacing w:before="108" w:after="1"/>
        <w:ind w:left="0" w:firstLine="0"/>
        <w:jc w:val="left"/>
      </w:pPr>
    </w:p>
    <w:tbl>
      <w:tblPr>
        <w:tblW w:w="0" w:type="auto"/>
        <w:jc w:val="left"/>
        <w:tblInd w:w="435"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CellMar>
          <w:top w:w="0" w:type="dxa"/>
          <w:left w:w="0" w:type="dxa"/>
          <w:bottom w:w="0" w:type="dxa"/>
          <w:right w:w="0" w:type="dxa"/>
        </w:tblCellMar>
        <w:tblLook w:val="01E0"/>
      </w:tblPr>
      <w:tblGrid>
        <w:gridCol w:w="3966"/>
        <w:gridCol w:w="3966"/>
      </w:tblGrid>
      <w:tr>
        <w:trPr>
          <w:trHeight w:val="186" w:hRule="atLeast"/>
        </w:trPr>
        <w:tc>
          <w:tcPr>
            <w:tcW w:w="3966" w:type="dxa"/>
            <w:shd w:val="clear" w:color="auto" w:fill="EDEDED"/>
          </w:tcPr>
          <w:p>
            <w:pPr>
              <w:pStyle w:val="TableParagraph"/>
              <w:spacing w:line="167" w:lineRule="exact" w:before="0"/>
              <w:ind w:left="704"/>
              <w:jc w:val="left"/>
              <w:rPr>
                <w:b/>
                <w:sz w:val="16"/>
              </w:rPr>
            </w:pPr>
            <w:r>
              <w:rPr>
                <w:b/>
                <w:sz w:val="16"/>
              </w:rPr>
              <w:t>Base</w:t>
            </w:r>
            <w:r>
              <w:rPr>
                <w:b/>
                <w:spacing w:val="-3"/>
                <w:sz w:val="16"/>
              </w:rPr>
              <w:t> </w:t>
            </w:r>
            <w:r>
              <w:rPr>
                <w:b/>
                <w:sz w:val="16"/>
              </w:rPr>
              <w:t>de</w:t>
            </w:r>
            <w:r>
              <w:rPr>
                <w:b/>
                <w:spacing w:val="-2"/>
                <w:sz w:val="16"/>
              </w:rPr>
              <w:t> </w:t>
            </w:r>
            <w:r>
              <w:rPr>
                <w:b/>
                <w:sz w:val="16"/>
              </w:rPr>
              <w:t>deducción</w:t>
            </w:r>
            <w:r>
              <w:rPr>
                <w:b/>
                <w:spacing w:val="-3"/>
                <w:sz w:val="16"/>
              </w:rPr>
              <w:t> </w:t>
            </w:r>
            <w:r>
              <w:rPr>
                <w:b/>
                <w:sz w:val="16"/>
              </w:rPr>
              <w:t>Importe</w:t>
            </w:r>
            <w:r>
              <w:rPr>
                <w:b/>
                <w:spacing w:val="-2"/>
                <w:sz w:val="16"/>
              </w:rPr>
              <w:t> hasta</w:t>
            </w:r>
          </w:p>
        </w:tc>
        <w:tc>
          <w:tcPr>
            <w:tcW w:w="3966" w:type="dxa"/>
            <w:shd w:val="clear" w:color="auto" w:fill="EDEDED"/>
          </w:tcPr>
          <w:p>
            <w:pPr>
              <w:pStyle w:val="TableParagraph"/>
              <w:spacing w:line="167" w:lineRule="exact" w:before="0"/>
              <w:ind w:left="4"/>
              <w:jc w:val="center"/>
              <w:rPr>
                <w:b/>
                <w:sz w:val="16"/>
              </w:rPr>
            </w:pPr>
            <w:r>
              <w:rPr>
                <w:b/>
                <w:sz w:val="16"/>
              </w:rPr>
              <w:t>Porcentaje</w:t>
            </w:r>
            <w:r>
              <w:rPr>
                <w:b/>
                <w:spacing w:val="-5"/>
                <w:sz w:val="16"/>
              </w:rPr>
              <w:t> </w:t>
            </w:r>
            <w:r>
              <w:rPr>
                <w:b/>
                <w:sz w:val="16"/>
              </w:rPr>
              <w:t>de</w:t>
            </w:r>
            <w:r>
              <w:rPr>
                <w:b/>
                <w:spacing w:val="-5"/>
                <w:sz w:val="16"/>
              </w:rPr>
              <w:t> </w:t>
            </w:r>
            <w:r>
              <w:rPr>
                <w:b/>
                <w:spacing w:val="-2"/>
                <w:sz w:val="16"/>
              </w:rPr>
              <w:t>deducción</w:t>
            </w:r>
          </w:p>
        </w:tc>
      </w:tr>
      <w:tr>
        <w:trPr>
          <w:trHeight w:val="188" w:hRule="atLeast"/>
        </w:trPr>
        <w:tc>
          <w:tcPr>
            <w:tcW w:w="3966" w:type="dxa"/>
            <w:tcBorders>
              <w:left w:val="single" w:sz="4" w:space="0" w:color="CCCCCC"/>
              <w:bottom w:val="single" w:sz="4" w:space="0" w:color="CCCCCC"/>
              <w:right w:val="single" w:sz="4" w:space="0" w:color="CCCCCC"/>
            </w:tcBorders>
          </w:tcPr>
          <w:p>
            <w:pPr>
              <w:pStyle w:val="TableParagraph"/>
              <w:spacing w:line="168" w:lineRule="exact" w:before="0"/>
              <w:ind w:left="40"/>
              <w:jc w:val="left"/>
              <w:rPr>
                <w:sz w:val="16"/>
              </w:rPr>
            </w:pPr>
            <w:r>
              <w:rPr>
                <w:sz w:val="16"/>
              </w:rPr>
              <w:t>250</w:t>
            </w:r>
            <w:r>
              <w:rPr>
                <w:spacing w:val="-2"/>
                <w:sz w:val="16"/>
              </w:rPr>
              <w:t> euros.</w:t>
            </w:r>
          </w:p>
        </w:tc>
        <w:tc>
          <w:tcPr>
            <w:tcW w:w="3966" w:type="dxa"/>
            <w:tcBorders>
              <w:left w:val="single" w:sz="4" w:space="0" w:color="CCCCCC"/>
              <w:bottom w:val="single" w:sz="4" w:space="0" w:color="CCCCCC"/>
              <w:right w:val="single" w:sz="4" w:space="0" w:color="CCCCCC"/>
            </w:tcBorders>
          </w:tcPr>
          <w:p>
            <w:pPr>
              <w:pStyle w:val="TableParagraph"/>
              <w:spacing w:line="168" w:lineRule="exact" w:before="0"/>
              <w:ind w:left="4"/>
              <w:jc w:val="center"/>
              <w:rPr>
                <w:sz w:val="16"/>
              </w:rPr>
            </w:pPr>
            <w:r>
              <w:rPr>
                <w:spacing w:val="-5"/>
                <w:sz w:val="16"/>
              </w:rPr>
              <w:t>80</w:t>
            </w:r>
          </w:p>
        </w:tc>
      </w:tr>
      <w:tr>
        <w:trPr>
          <w:trHeight w:val="187" w:hRule="atLeast"/>
        </w:trPr>
        <w:tc>
          <w:tcPr>
            <w:tcW w:w="3966" w:type="dxa"/>
            <w:tcBorders>
              <w:top w:val="single" w:sz="4" w:space="0" w:color="CCCCCC"/>
              <w:left w:val="single" w:sz="4" w:space="0" w:color="CCCCCC"/>
              <w:bottom w:val="single" w:sz="4" w:space="0" w:color="CCCCCC"/>
              <w:right w:val="single" w:sz="4" w:space="0" w:color="CCCCCC"/>
            </w:tcBorders>
          </w:tcPr>
          <w:p>
            <w:pPr>
              <w:pStyle w:val="TableParagraph"/>
              <w:spacing w:line="168" w:lineRule="exact" w:before="0"/>
              <w:ind w:left="40"/>
              <w:jc w:val="left"/>
              <w:rPr>
                <w:sz w:val="16"/>
              </w:rPr>
            </w:pPr>
            <w:r>
              <w:rPr>
                <w:sz w:val="16"/>
              </w:rPr>
              <w:t>Resto</w:t>
            </w:r>
            <w:r>
              <w:rPr>
                <w:spacing w:val="-3"/>
                <w:sz w:val="16"/>
              </w:rPr>
              <w:t> </w:t>
            </w:r>
            <w:r>
              <w:rPr>
                <w:sz w:val="16"/>
              </w:rPr>
              <w:t>base</w:t>
            </w:r>
            <w:r>
              <w:rPr>
                <w:spacing w:val="-3"/>
                <w:sz w:val="16"/>
              </w:rPr>
              <w:t> </w:t>
            </w:r>
            <w:r>
              <w:rPr>
                <w:sz w:val="16"/>
              </w:rPr>
              <w:t>de</w:t>
            </w:r>
            <w:r>
              <w:rPr>
                <w:spacing w:val="-2"/>
                <w:sz w:val="16"/>
              </w:rPr>
              <w:t> deducción.</w:t>
            </w:r>
          </w:p>
        </w:tc>
        <w:tc>
          <w:tcPr>
            <w:tcW w:w="3966" w:type="dxa"/>
            <w:tcBorders>
              <w:top w:val="single" w:sz="4" w:space="0" w:color="CCCCCC"/>
              <w:left w:val="single" w:sz="4" w:space="0" w:color="CCCCCC"/>
              <w:bottom w:val="single" w:sz="4" w:space="0" w:color="CCCCCC"/>
              <w:right w:val="single" w:sz="4" w:space="0" w:color="CCCCCC"/>
            </w:tcBorders>
          </w:tcPr>
          <w:p>
            <w:pPr>
              <w:pStyle w:val="TableParagraph"/>
              <w:spacing w:line="168" w:lineRule="exact" w:before="0"/>
              <w:ind w:left="4"/>
              <w:jc w:val="center"/>
              <w:rPr>
                <w:sz w:val="16"/>
              </w:rPr>
            </w:pPr>
            <w:r>
              <w:rPr>
                <w:spacing w:val="-5"/>
                <w:sz w:val="16"/>
              </w:rPr>
              <w:t>40</w:t>
            </w:r>
          </w:p>
        </w:tc>
      </w:tr>
    </w:tbl>
    <w:p>
      <w:pPr>
        <w:pStyle w:val="BodyText"/>
        <w:spacing w:before="106"/>
        <w:ind w:left="0" w:firstLine="0"/>
        <w:jc w:val="left"/>
      </w:pPr>
    </w:p>
    <w:p>
      <w:pPr>
        <w:pStyle w:val="BodyText"/>
        <w:spacing w:line="249" w:lineRule="auto" w:before="0"/>
        <w:ind w:right="1103"/>
      </w:pPr>
      <w:r>
        <w:rPr/>
        <w:t>Si</w:t>
      </w:r>
      <w:r>
        <w:rPr>
          <w:spacing w:val="-2"/>
        </w:rPr>
        <w:t> </w:t>
      </w:r>
      <w:r>
        <w:rPr/>
        <w:t>en</w:t>
      </w:r>
      <w:r>
        <w:rPr>
          <w:spacing w:val="-2"/>
        </w:rPr>
        <w:t> </w:t>
      </w:r>
      <w:r>
        <w:rPr/>
        <w:t>los</w:t>
      </w:r>
      <w:r>
        <w:rPr>
          <w:spacing w:val="-2"/>
        </w:rPr>
        <w:t> </w:t>
      </w:r>
      <w:r>
        <w:rPr/>
        <w:t>dos</w:t>
      </w:r>
      <w:r>
        <w:rPr>
          <w:spacing w:val="-2"/>
        </w:rPr>
        <w:t> </w:t>
      </w:r>
      <w:r>
        <w:rPr/>
        <w:t>períodos</w:t>
      </w:r>
      <w:r>
        <w:rPr>
          <w:spacing w:val="-2"/>
        </w:rPr>
        <w:t> </w:t>
      </w:r>
      <w:r>
        <w:rPr/>
        <w:t>impositivos</w:t>
      </w:r>
      <w:r>
        <w:rPr>
          <w:spacing w:val="-2"/>
        </w:rPr>
        <w:t> </w:t>
      </w:r>
      <w:r>
        <w:rPr/>
        <w:t>inmediatos</w:t>
      </w:r>
      <w:r>
        <w:rPr>
          <w:spacing w:val="-2"/>
        </w:rPr>
        <w:t> </w:t>
      </w:r>
      <w:r>
        <w:rPr/>
        <w:t>anteriores</w:t>
      </w:r>
      <w:r>
        <w:rPr>
          <w:spacing w:val="-2"/>
        </w:rPr>
        <w:t> </w:t>
      </w:r>
      <w:r>
        <w:rPr/>
        <w:t>se</w:t>
      </w:r>
      <w:r>
        <w:rPr>
          <w:spacing w:val="-2"/>
        </w:rPr>
        <w:t> </w:t>
      </w:r>
      <w:r>
        <w:rPr/>
        <w:t>hubieran</w:t>
      </w:r>
      <w:r>
        <w:rPr>
          <w:spacing w:val="-2"/>
        </w:rPr>
        <w:t> </w:t>
      </w:r>
      <w:r>
        <w:rPr/>
        <w:t>realizado</w:t>
      </w:r>
      <w:r>
        <w:rPr>
          <w:spacing w:val="-2"/>
        </w:rPr>
        <w:t> </w:t>
      </w:r>
      <w:r>
        <w:rPr/>
        <w:t>donativos, donaciones o aportaciones con derecho a deducción en favor de una misma entidad, siendo el importe del donativo, donación o aportación de este ejercicio y el del período impositivo anterior, igual o superior, en cada uno de ellos, al del ejercicio inmediato anterior, el porcentaje de deducción aplicable a la base de la deducción en favor de esa misma entidad que exceda de 250 euros, será el 45 por ciento.</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ListParagraph"/>
        <w:numPr>
          <w:ilvl w:val="0"/>
          <w:numId w:val="10"/>
        </w:numPr>
        <w:tabs>
          <w:tab w:pos="821" w:val="left" w:leader="none"/>
        </w:tabs>
        <w:spacing w:line="249" w:lineRule="auto" w:before="1" w:after="0"/>
        <w:ind w:left="255" w:right="1102" w:firstLine="340"/>
        <w:jc w:val="both"/>
        <w:rPr>
          <w:sz w:val="20"/>
        </w:rPr>
      </w:pPr>
      <w:r>
        <w:rPr>
          <w:sz w:val="20"/>
        </w:rPr>
        <w:t>La base de esta deducción se computará a efectos del límite previsto en el apartado 1 del artículo 69 de la Ley 35/2006, de 28 de noviembre, del Impuesto sobre la Renta de las Personas Físicas y de modificación parcial de las leyes de los Impuestos sobre Sociedades, sobre la Renta de no Residentes y sobre el Patrimonio.</w:t>
      </w:r>
    </w:p>
    <w:p>
      <w:pPr>
        <w:pStyle w:val="BodyText"/>
        <w:spacing w:before="0"/>
        <w:ind w:left="0" w:firstLine="0"/>
        <w:jc w:val="left"/>
      </w:pPr>
    </w:p>
    <w:p>
      <w:pPr>
        <w:spacing w:before="0"/>
        <w:ind w:left="255" w:right="0" w:firstLine="0"/>
        <w:jc w:val="left"/>
        <w:rPr>
          <w:i/>
          <w:sz w:val="20"/>
        </w:rPr>
      </w:pPr>
      <w:bookmarkStart w:name="Artículo 20. Deducción de la cuota del I" w:id="58"/>
      <w:bookmarkEnd w:id="58"/>
      <w:r>
        <w:rPr/>
      </w:r>
      <w:bookmarkStart w:name="_bookmark28" w:id="59"/>
      <w:bookmarkEnd w:id="59"/>
      <w:r>
        <w:rPr/>
      </w:r>
      <w:r>
        <w:rPr>
          <w:b/>
          <w:sz w:val="20"/>
        </w:rPr>
        <w:t>Artículo</w:t>
      </w:r>
      <w:r>
        <w:rPr>
          <w:b/>
          <w:spacing w:val="-3"/>
          <w:sz w:val="20"/>
        </w:rPr>
        <w:t> </w:t>
      </w:r>
      <w:r>
        <w:rPr>
          <w:b/>
          <w:sz w:val="20"/>
        </w:rPr>
        <w:t>20.</w:t>
      </w:r>
      <w:r>
        <w:rPr>
          <w:b/>
          <w:spacing w:val="48"/>
          <w:sz w:val="20"/>
        </w:rPr>
        <w:t> </w:t>
      </w:r>
      <w:r>
        <w:rPr>
          <w:i/>
          <w:sz w:val="20"/>
        </w:rPr>
        <w:t>Deducción</w:t>
      </w:r>
      <w:r>
        <w:rPr>
          <w:i/>
          <w:spacing w:val="-2"/>
          <w:sz w:val="20"/>
        </w:rPr>
        <w:t> </w:t>
      </w:r>
      <w:r>
        <w:rPr>
          <w:i/>
          <w:sz w:val="20"/>
        </w:rPr>
        <w:t>de</w:t>
      </w:r>
      <w:r>
        <w:rPr>
          <w:i/>
          <w:spacing w:val="-3"/>
          <w:sz w:val="20"/>
        </w:rPr>
        <w:t> </w:t>
      </w:r>
      <w:r>
        <w:rPr>
          <w:i/>
          <w:sz w:val="20"/>
        </w:rPr>
        <w:t>la</w:t>
      </w:r>
      <w:r>
        <w:rPr>
          <w:i/>
          <w:spacing w:val="-3"/>
          <w:sz w:val="20"/>
        </w:rPr>
        <w:t> </w:t>
      </w:r>
      <w:r>
        <w:rPr>
          <w:i/>
          <w:sz w:val="20"/>
        </w:rPr>
        <w:t>cuota</w:t>
      </w:r>
      <w:r>
        <w:rPr>
          <w:i/>
          <w:spacing w:val="-2"/>
          <w:sz w:val="20"/>
        </w:rPr>
        <w:t> </w:t>
      </w:r>
      <w:r>
        <w:rPr>
          <w:i/>
          <w:sz w:val="20"/>
        </w:rPr>
        <w:t>del</w:t>
      </w:r>
      <w:r>
        <w:rPr>
          <w:i/>
          <w:spacing w:val="-3"/>
          <w:sz w:val="20"/>
        </w:rPr>
        <w:t> </w:t>
      </w:r>
      <w:r>
        <w:rPr>
          <w:i/>
          <w:sz w:val="20"/>
        </w:rPr>
        <w:t>Impuesto</w:t>
      </w:r>
      <w:r>
        <w:rPr>
          <w:i/>
          <w:spacing w:val="-3"/>
          <w:sz w:val="20"/>
        </w:rPr>
        <w:t> </w:t>
      </w:r>
      <w:r>
        <w:rPr>
          <w:i/>
          <w:sz w:val="20"/>
        </w:rPr>
        <w:t>sobre</w:t>
      </w:r>
      <w:r>
        <w:rPr>
          <w:i/>
          <w:spacing w:val="-2"/>
          <w:sz w:val="20"/>
        </w:rPr>
        <w:t> Sociedades.</w:t>
      </w:r>
    </w:p>
    <w:p>
      <w:pPr>
        <w:pStyle w:val="ListParagraph"/>
        <w:numPr>
          <w:ilvl w:val="0"/>
          <w:numId w:val="11"/>
        </w:numPr>
        <w:tabs>
          <w:tab w:pos="834" w:val="left" w:leader="none"/>
        </w:tabs>
        <w:spacing w:line="249" w:lineRule="auto" w:before="123" w:after="0"/>
        <w:ind w:left="255" w:right="1102" w:firstLine="340"/>
        <w:jc w:val="both"/>
        <w:rPr>
          <w:sz w:val="20"/>
        </w:rPr>
      </w:pPr>
      <w:r>
        <w:rPr>
          <w:sz w:val="20"/>
        </w:rPr>
        <w:t>Los sujetos pasivos del Impuesto sobre Sociedades tendrán derecho a deducir de la cuota íntegra, minorada en las deducciones y bonificaciones previstas en los Capítulos II, III</w:t>
      </w:r>
      <w:r>
        <w:rPr>
          <w:spacing w:val="40"/>
          <w:sz w:val="20"/>
        </w:rPr>
        <w:t> </w:t>
      </w:r>
      <w:r>
        <w:rPr>
          <w:sz w:val="20"/>
        </w:rPr>
        <w:t>y IV del Título VI de la Ley 43/1995, de 27 de diciembre, del Impuesto sobre Sociedades, el 40</w:t>
      </w:r>
      <w:r>
        <w:rPr>
          <w:spacing w:val="-14"/>
          <w:sz w:val="20"/>
        </w:rPr>
        <w:t> </w:t>
      </w:r>
      <w:r>
        <w:rPr>
          <w:sz w:val="20"/>
        </w:rPr>
        <w:t>% de la base de la deducción determinada según lo dispuesto en el artículo 18. Las cantidades correspondientes al período impositivo no deducidas podrán aplicarse en las liquidaciones de los períodos impositivos que concluyan en los 10 años inmediatos y </w:t>
      </w:r>
      <w:r>
        <w:rPr>
          <w:spacing w:val="-2"/>
          <w:sz w:val="20"/>
        </w:rPr>
        <w:t>sucesivos.</w:t>
      </w:r>
    </w:p>
    <w:p>
      <w:pPr>
        <w:pStyle w:val="BodyText"/>
        <w:spacing w:line="249" w:lineRule="auto" w:before="6"/>
        <w:ind w:right="1103"/>
      </w:pPr>
      <w:r>
        <w:rPr/>
        <w:t>Si</w:t>
      </w:r>
      <w:r>
        <w:rPr>
          <w:spacing w:val="-2"/>
        </w:rPr>
        <w:t> </w:t>
      </w:r>
      <w:r>
        <w:rPr/>
        <w:t>en</w:t>
      </w:r>
      <w:r>
        <w:rPr>
          <w:spacing w:val="-2"/>
        </w:rPr>
        <w:t> </w:t>
      </w:r>
      <w:r>
        <w:rPr/>
        <w:t>los</w:t>
      </w:r>
      <w:r>
        <w:rPr>
          <w:spacing w:val="-2"/>
        </w:rPr>
        <w:t> </w:t>
      </w:r>
      <w:r>
        <w:rPr/>
        <w:t>dos</w:t>
      </w:r>
      <w:r>
        <w:rPr>
          <w:spacing w:val="-2"/>
        </w:rPr>
        <w:t> </w:t>
      </w:r>
      <w:r>
        <w:rPr/>
        <w:t>períodos</w:t>
      </w:r>
      <w:r>
        <w:rPr>
          <w:spacing w:val="-2"/>
        </w:rPr>
        <w:t> </w:t>
      </w:r>
      <w:r>
        <w:rPr/>
        <w:t>impositivos</w:t>
      </w:r>
      <w:r>
        <w:rPr>
          <w:spacing w:val="-2"/>
        </w:rPr>
        <w:t> </w:t>
      </w:r>
      <w:r>
        <w:rPr/>
        <w:t>inmediatos</w:t>
      </w:r>
      <w:r>
        <w:rPr>
          <w:spacing w:val="-2"/>
        </w:rPr>
        <w:t> </w:t>
      </w:r>
      <w:r>
        <w:rPr/>
        <w:t>anteriores</w:t>
      </w:r>
      <w:r>
        <w:rPr>
          <w:spacing w:val="-2"/>
        </w:rPr>
        <w:t> </w:t>
      </w:r>
      <w:r>
        <w:rPr/>
        <w:t>se</w:t>
      </w:r>
      <w:r>
        <w:rPr>
          <w:spacing w:val="-2"/>
        </w:rPr>
        <w:t> </w:t>
      </w:r>
      <w:r>
        <w:rPr/>
        <w:t>hubieran</w:t>
      </w:r>
      <w:r>
        <w:rPr>
          <w:spacing w:val="-2"/>
        </w:rPr>
        <w:t> </w:t>
      </w:r>
      <w:r>
        <w:rPr/>
        <w:t>realizado</w:t>
      </w:r>
      <w:r>
        <w:rPr>
          <w:spacing w:val="-2"/>
        </w:rPr>
        <w:t> </w:t>
      </w:r>
      <w:r>
        <w:rPr/>
        <w:t>donativos, donaciones o aportaciones con derecho a deducción en favor de una misma entidad, siendo el importe del donativo, donación o aportación de este período impositivo y el del período impositivo anterior, por importe igual o superior, en cada uno de ellos, al del período impositivo inmediato anterior, el porcentaje de deducción aplicable a la base de la deducción en favor de esa misma entidad será el 50</w:t>
      </w:r>
      <w:r>
        <w:rPr>
          <w:spacing w:val="-5"/>
        </w:rPr>
        <w:t> </w:t>
      </w:r>
      <w:r>
        <w:rPr/>
        <w:t>%.</w:t>
      </w:r>
    </w:p>
    <w:p>
      <w:pPr>
        <w:pStyle w:val="ListParagraph"/>
        <w:numPr>
          <w:ilvl w:val="0"/>
          <w:numId w:val="11"/>
        </w:numPr>
        <w:tabs>
          <w:tab w:pos="861" w:val="left" w:leader="none"/>
        </w:tabs>
        <w:spacing w:line="249" w:lineRule="auto" w:before="5" w:after="0"/>
        <w:ind w:left="255" w:right="1105" w:firstLine="340"/>
        <w:jc w:val="both"/>
        <w:rPr>
          <w:sz w:val="20"/>
        </w:rPr>
      </w:pPr>
      <w:r>
        <w:rPr>
          <w:sz w:val="20"/>
        </w:rPr>
        <w:t>La base de esta deducción no podrá exceder del 15</w:t>
      </w:r>
      <w:r>
        <w:rPr>
          <w:spacing w:val="-14"/>
          <w:sz w:val="20"/>
        </w:rPr>
        <w:t> </w:t>
      </w:r>
      <w:r>
        <w:rPr>
          <w:sz w:val="20"/>
        </w:rPr>
        <w:t>% de la base imponible del período impositivo. Las cantidades que excedan de este límite se podrán aplicar en los períodos impositivos que concluyan en los diez años inmediatos y sucesivos.</w:t>
      </w:r>
    </w:p>
    <w:p>
      <w:pPr>
        <w:spacing w:before="229"/>
        <w:ind w:left="255" w:right="0" w:firstLine="0"/>
        <w:jc w:val="left"/>
        <w:rPr>
          <w:i/>
          <w:sz w:val="20"/>
        </w:rPr>
      </w:pPr>
      <w:bookmarkStart w:name="Artículo 21. Deducción de la cuota del I" w:id="60"/>
      <w:bookmarkEnd w:id="60"/>
      <w:r>
        <w:rPr/>
      </w:r>
      <w:bookmarkStart w:name="_bookmark29" w:id="61"/>
      <w:bookmarkEnd w:id="61"/>
      <w:r>
        <w:rPr/>
      </w:r>
      <w:r>
        <w:rPr>
          <w:b/>
          <w:sz w:val="20"/>
        </w:rPr>
        <w:t>Artículo</w:t>
      </w:r>
      <w:r>
        <w:rPr>
          <w:b/>
          <w:spacing w:val="-3"/>
          <w:sz w:val="20"/>
        </w:rPr>
        <w:t> </w:t>
      </w:r>
      <w:r>
        <w:rPr>
          <w:b/>
          <w:sz w:val="20"/>
        </w:rPr>
        <w:t>21.</w:t>
      </w:r>
      <w:r>
        <w:rPr>
          <w:b/>
          <w:spacing w:val="49"/>
          <w:sz w:val="20"/>
        </w:rPr>
        <w:t> </w:t>
      </w:r>
      <w:r>
        <w:rPr>
          <w:i/>
          <w:sz w:val="20"/>
        </w:rPr>
        <w:t>Deducción</w:t>
      </w:r>
      <w:r>
        <w:rPr>
          <w:i/>
          <w:spacing w:val="-2"/>
          <w:sz w:val="20"/>
        </w:rPr>
        <w:t> </w:t>
      </w:r>
      <w:r>
        <w:rPr>
          <w:i/>
          <w:sz w:val="20"/>
        </w:rPr>
        <w:t>de</w:t>
      </w:r>
      <w:r>
        <w:rPr>
          <w:i/>
          <w:spacing w:val="-3"/>
          <w:sz w:val="20"/>
        </w:rPr>
        <w:t> </w:t>
      </w:r>
      <w:r>
        <w:rPr>
          <w:i/>
          <w:sz w:val="20"/>
        </w:rPr>
        <w:t>la</w:t>
      </w:r>
      <w:r>
        <w:rPr>
          <w:i/>
          <w:spacing w:val="-2"/>
          <w:sz w:val="20"/>
        </w:rPr>
        <w:t> </w:t>
      </w:r>
      <w:r>
        <w:rPr>
          <w:i/>
          <w:sz w:val="20"/>
        </w:rPr>
        <w:t>cuota</w:t>
      </w:r>
      <w:r>
        <w:rPr>
          <w:i/>
          <w:spacing w:val="-2"/>
          <w:sz w:val="20"/>
        </w:rPr>
        <w:t> </w:t>
      </w:r>
      <w:r>
        <w:rPr>
          <w:i/>
          <w:sz w:val="20"/>
        </w:rPr>
        <w:t>del</w:t>
      </w:r>
      <w:r>
        <w:rPr>
          <w:i/>
          <w:spacing w:val="-3"/>
          <w:sz w:val="20"/>
        </w:rPr>
        <w:t> </w:t>
      </w:r>
      <w:r>
        <w:rPr>
          <w:i/>
          <w:sz w:val="20"/>
        </w:rPr>
        <w:t>Impuesto</w:t>
      </w:r>
      <w:r>
        <w:rPr>
          <w:i/>
          <w:spacing w:val="-2"/>
          <w:sz w:val="20"/>
        </w:rPr>
        <w:t> </w:t>
      </w:r>
      <w:r>
        <w:rPr>
          <w:i/>
          <w:sz w:val="20"/>
        </w:rPr>
        <w:t>sobre</w:t>
      </w:r>
      <w:r>
        <w:rPr>
          <w:i/>
          <w:spacing w:val="-3"/>
          <w:sz w:val="20"/>
        </w:rPr>
        <w:t> </w:t>
      </w:r>
      <w:r>
        <w:rPr>
          <w:i/>
          <w:sz w:val="20"/>
        </w:rPr>
        <w:t>la</w:t>
      </w:r>
      <w:r>
        <w:rPr>
          <w:i/>
          <w:spacing w:val="-2"/>
          <w:sz w:val="20"/>
        </w:rPr>
        <w:t> </w:t>
      </w:r>
      <w:r>
        <w:rPr>
          <w:i/>
          <w:sz w:val="20"/>
        </w:rPr>
        <w:t>Renta</w:t>
      </w:r>
      <w:r>
        <w:rPr>
          <w:i/>
          <w:spacing w:val="-3"/>
          <w:sz w:val="20"/>
        </w:rPr>
        <w:t> </w:t>
      </w:r>
      <w:r>
        <w:rPr>
          <w:i/>
          <w:sz w:val="20"/>
        </w:rPr>
        <w:t>de</w:t>
      </w:r>
      <w:r>
        <w:rPr>
          <w:i/>
          <w:spacing w:val="-2"/>
          <w:sz w:val="20"/>
        </w:rPr>
        <w:t> </w:t>
      </w:r>
      <w:r>
        <w:rPr>
          <w:i/>
          <w:sz w:val="20"/>
        </w:rPr>
        <w:t>no</w:t>
      </w:r>
      <w:r>
        <w:rPr>
          <w:i/>
          <w:spacing w:val="-2"/>
          <w:sz w:val="20"/>
        </w:rPr>
        <w:t> Residentes.</w:t>
      </w:r>
    </w:p>
    <w:p>
      <w:pPr>
        <w:pStyle w:val="ListParagraph"/>
        <w:numPr>
          <w:ilvl w:val="0"/>
          <w:numId w:val="12"/>
        </w:numPr>
        <w:tabs>
          <w:tab w:pos="856" w:val="left" w:leader="none"/>
        </w:tabs>
        <w:spacing w:line="249" w:lineRule="auto" w:before="123" w:after="0"/>
        <w:ind w:left="255" w:right="1103" w:firstLine="340"/>
        <w:jc w:val="both"/>
        <w:rPr>
          <w:sz w:val="20"/>
        </w:rPr>
      </w:pPr>
      <w:r>
        <w:rPr>
          <w:sz w:val="20"/>
        </w:rPr>
        <w:t>Los contribuyentes del Impuesto sobre la Renta de no Residentes que operen en territorio español sin establecimiento permanente podrán aplicar la deducción establecida en el apartado 1 del artículo 19 de esta Ley en las declaraciones que por dicho impuesto presenten por hechos imponibles acaecidos en el plazo de un año desde la fecha del donativo,</w:t>
      </w:r>
      <w:r>
        <w:rPr>
          <w:spacing w:val="-5"/>
          <w:sz w:val="20"/>
        </w:rPr>
        <w:t> </w:t>
      </w:r>
      <w:r>
        <w:rPr>
          <w:sz w:val="20"/>
        </w:rPr>
        <w:t>donación</w:t>
      </w:r>
      <w:r>
        <w:rPr>
          <w:spacing w:val="-1"/>
          <w:sz w:val="20"/>
        </w:rPr>
        <w:t> </w:t>
      </w:r>
      <w:r>
        <w:rPr>
          <w:sz w:val="20"/>
        </w:rPr>
        <w:t>o</w:t>
      </w:r>
      <w:r>
        <w:rPr>
          <w:spacing w:val="-1"/>
          <w:sz w:val="20"/>
        </w:rPr>
        <w:t> </w:t>
      </w:r>
      <w:r>
        <w:rPr>
          <w:sz w:val="20"/>
        </w:rPr>
        <w:t>aportación.</w:t>
      </w:r>
      <w:r>
        <w:rPr>
          <w:spacing w:val="-1"/>
          <w:sz w:val="20"/>
        </w:rPr>
        <w:t> </w:t>
      </w:r>
      <w:r>
        <w:rPr>
          <w:sz w:val="20"/>
        </w:rPr>
        <w:t>La</w:t>
      </w:r>
      <w:r>
        <w:rPr>
          <w:spacing w:val="-1"/>
          <w:sz w:val="20"/>
        </w:rPr>
        <w:t> </w:t>
      </w:r>
      <w:r>
        <w:rPr>
          <w:sz w:val="20"/>
        </w:rPr>
        <w:t>base</w:t>
      </w:r>
      <w:r>
        <w:rPr>
          <w:spacing w:val="-1"/>
          <w:sz w:val="20"/>
        </w:rPr>
        <w:t> </w:t>
      </w:r>
      <w:r>
        <w:rPr>
          <w:sz w:val="20"/>
        </w:rPr>
        <w:t>de</w:t>
      </w:r>
      <w:r>
        <w:rPr>
          <w:spacing w:val="-1"/>
          <w:sz w:val="20"/>
        </w:rPr>
        <w:t> </w:t>
      </w:r>
      <w:r>
        <w:rPr>
          <w:sz w:val="20"/>
        </w:rPr>
        <w:t>esta</w:t>
      </w:r>
      <w:r>
        <w:rPr>
          <w:spacing w:val="-1"/>
          <w:sz w:val="20"/>
        </w:rPr>
        <w:t> </w:t>
      </w:r>
      <w:r>
        <w:rPr>
          <w:sz w:val="20"/>
        </w:rPr>
        <w:t>deducción</w:t>
      </w:r>
      <w:r>
        <w:rPr>
          <w:spacing w:val="-1"/>
          <w:sz w:val="20"/>
        </w:rPr>
        <w:t> </w:t>
      </w:r>
      <w:r>
        <w:rPr>
          <w:sz w:val="20"/>
        </w:rPr>
        <w:t>no</w:t>
      </w:r>
      <w:r>
        <w:rPr>
          <w:spacing w:val="-1"/>
          <w:sz w:val="20"/>
        </w:rPr>
        <w:t> </w:t>
      </w:r>
      <w:r>
        <w:rPr>
          <w:sz w:val="20"/>
        </w:rPr>
        <w:t>podrá</w:t>
      </w:r>
      <w:r>
        <w:rPr>
          <w:spacing w:val="-1"/>
          <w:sz w:val="20"/>
        </w:rPr>
        <w:t> </w:t>
      </w:r>
      <w:r>
        <w:rPr>
          <w:sz w:val="20"/>
        </w:rPr>
        <w:t>exceder</w:t>
      </w:r>
      <w:r>
        <w:rPr>
          <w:spacing w:val="-1"/>
          <w:sz w:val="20"/>
        </w:rPr>
        <w:t> </w:t>
      </w:r>
      <w:r>
        <w:rPr>
          <w:sz w:val="20"/>
        </w:rPr>
        <w:t>del</w:t>
      </w:r>
      <w:r>
        <w:rPr>
          <w:spacing w:val="-1"/>
          <w:sz w:val="20"/>
        </w:rPr>
        <w:t> </w:t>
      </w:r>
      <w:r>
        <w:rPr>
          <w:sz w:val="20"/>
        </w:rPr>
        <w:t>15</w:t>
      </w:r>
      <w:r>
        <w:rPr>
          <w:spacing w:val="-14"/>
          <w:sz w:val="20"/>
        </w:rPr>
        <w:t> </w:t>
      </w:r>
      <w:r>
        <w:rPr>
          <w:sz w:val="20"/>
        </w:rPr>
        <w:t>%</w:t>
      </w:r>
      <w:r>
        <w:rPr>
          <w:spacing w:val="-1"/>
          <w:sz w:val="20"/>
        </w:rPr>
        <w:t> </w:t>
      </w:r>
      <w:r>
        <w:rPr>
          <w:sz w:val="20"/>
        </w:rPr>
        <w:t>de</w:t>
      </w:r>
      <w:r>
        <w:rPr>
          <w:spacing w:val="-1"/>
          <w:sz w:val="20"/>
        </w:rPr>
        <w:t> </w:t>
      </w:r>
      <w:r>
        <w:rPr>
          <w:sz w:val="20"/>
        </w:rPr>
        <w:t>la base imponible del conjunto de las declaraciones presentadas en ese plazo.</w:t>
      </w:r>
    </w:p>
    <w:p>
      <w:pPr>
        <w:pStyle w:val="ListParagraph"/>
        <w:numPr>
          <w:ilvl w:val="0"/>
          <w:numId w:val="12"/>
        </w:numPr>
        <w:tabs>
          <w:tab w:pos="856" w:val="left" w:leader="none"/>
        </w:tabs>
        <w:spacing w:line="249" w:lineRule="auto" w:before="5" w:after="0"/>
        <w:ind w:left="255" w:right="1105" w:firstLine="340"/>
        <w:jc w:val="both"/>
        <w:rPr>
          <w:sz w:val="20"/>
        </w:rPr>
      </w:pPr>
      <w:r>
        <w:rPr>
          <w:sz w:val="20"/>
        </w:rPr>
        <w:t>Los contribuyentes del Impuesto sobre la Renta de no Residentes que operen en territorio español mediante establecimiento permanente podrán aplicar la deducción establecida en el artículo anterior.</w:t>
      </w:r>
    </w:p>
    <w:p>
      <w:pPr>
        <w:spacing w:before="230"/>
        <w:ind w:left="255" w:right="0" w:firstLine="0"/>
        <w:jc w:val="left"/>
        <w:rPr>
          <w:i/>
          <w:sz w:val="20"/>
        </w:rPr>
      </w:pPr>
      <w:bookmarkStart w:name="Artículo 22. Actividades prioritarias de" w:id="62"/>
      <w:bookmarkEnd w:id="62"/>
      <w:r>
        <w:rPr/>
      </w:r>
      <w:bookmarkStart w:name="_bookmark30" w:id="63"/>
      <w:bookmarkEnd w:id="63"/>
      <w:r>
        <w:rPr/>
      </w:r>
      <w:r>
        <w:rPr>
          <w:b/>
          <w:sz w:val="20"/>
        </w:rPr>
        <w:t>Artículo</w:t>
      </w:r>
      <w:r>
        <w:rPr>
          <w:b/>
          <w:spacing w:val="-3"/>
          <w:sz w:val="20"/>
        </w:rPr>
        <w:t> </w:t>
      </w:r>
      <w:r>
        <w:rPr>
          <w:b/>
          <w:sz w:val="20"/>
        </w:rPr>
        <w:t>22.</w:t>
      </w:r>
      <w:r>
        <w:rPr>
          <w:b/>
          <w:spacing w:val="54"/>
          <w:sz w:val="20"/>
        </w:rPr>
        <w:t> </w:t>
      </w:r>
      <w:r>
        <w:rPr>
          <w:i/>
          <w:sz w:val="20"/>
        </w:rPr>
        <w:t>Actividades prioritarias de </w:t>
      </w:r>
      <w:r>
        <w:rPr>
          <w:i/>
          <w:spacing w:val="-2"/>
          <w:sz w:val="20"/>
        </w:rPr>
        <w:t>mecenazgo.</w:t>
      </w:r>
    </w:p>
    <w:p>
      <w:pPr>
        <w:pStyle w:val="BodyText"/>
        <w:spacing w:line="249" w:lineRule="auto" w:before="123"/>
        <w:ind w:right="1104"/>
      </w:pPr>
      <w:r>
        <w:rPr/>
        <w:t>La Ley de Presupuestos Generales del Estado podrá establecer una relación de actividades prioritarias de mecenazgo en el ámbito de los fines de interés general citados en el número 1.º del artículo 3 de esta Ley, así como las entidades beneficiarias, de acuerdo</w:t>
      </w:r>
      <w:r>
        <w:rPr>
          <w:spacing w:val="40"/>
        </w:rPr>
        <w:t> </w:t>
      </w:r>
      <w:r>
        <w:rPr/>
        <w:t>con su artículo 16.</w:t>
      </w:r>
    </w:p>
    <w:p>
      <w:pPr>
        <w:pStyle w:val="BodyText"/>
        <w:spacing w:line="249" w:lineRule="auto" w:before="3"/>
        <w:ind w:right="1103"/>
      </w:pPr>
      <w:r>
        <w:rPr/>
        <w:t>En relación con dichas actividades y entidades, la Ley de Presupuestos Generales del Estado podrá elevar en cinco puntos porcentuales, como máximo, los porcentajes y límites de las deducciones establecidas en los artículos 19, 20 y 21 de esta Ley.</w:t>
      </w:r>
    </w:p>
    <w:p>
      <w:pPr>
        <w:spacing w:before="229"/>
        <w:ind w:left="255" w:right="0" w:firstLine="0"/>
        <w:jc w:val="left"/>
        <w:rPr>
          <w:i/>
          <w:sz w:val="20"/>
        </w:rPr>
      </w:pPr>
      <w:bookmarkStart w:name="Artículo 23. Exención de las rentas deri" w:id="64"/>
      <w:bookmarkEnd w:id="64"/>
      <w:r>
        <w:rPr/>
      </w:r>
      <w:bookmarkStart w:name="_bookmark31" w:id="65"/>
      <w:bookmarkEnd w:id="65"/>
      <w:r>
        <w:rPr/>
      </w:r>
      <w:r>
        <w:rPr>
          <w:b/>
          <w:sz w:val="20"/>
        </w:rPr>
        <w:t>Artículo</w:t>
      </w:r>
      <w:r>
        <w:rPr>
          <w:b/>
          <w:spacing w:val="-1"/>
          <w:sz w:val="20"/>
        </w:rPr>
        <w:t> </w:t>
      </w:r>
      <w:r>
        <w:rPr>
          <w:b/>
          <w:sz w:val="20"/>
        </w:rPr>
        <w:t>23.</w:t>
      </w:r>
      <w:r>
        <w:rPr>
          <w:b/>
          <w:spacing w:val="52"/>
          <w:sz w:val="20"/>
        </w:rPr>
        <w:t> </w:t>
      </w:r>
      <w:r>
        <w:rPr>
          <w:i/>
          <w:sz w:val="20"/>
        </w:rPr>
        <w:t>Exención de</w:t>
      </w:r>
      <w:r>
        <w:rPr>
          <w:i/>
          <w:spacing w:val="-1"/>
          <w:sz w:val="20"/>
        </w:rPr>
        <w:t> </w:t>
      </w:r>
      <w:r>
        <w:rPr>
          <w:i/>
          <w:sz w:val="20"/>
        </w:rPr>
        <w:t>las</w:t>
      </w:r>
      <w:r>
        <w:rPr>
          <w:i/>
          <w:spacing w:val="-1"/>
          <w:sz w:val="20"/>
        </w:rPr>
        <w:t> </w:t>
      </w:r>
      <w:r>
        <w:rPr>
          <w:i/>
          <w:sz w:val="20"/>
        </w:rPr>
        <w:t>rentas</w:t>
      </w:r>
      <w:r>
        <w:rPr>
          <w:i/>
          <w:spacing w:val="-1"/>
          <w:sz w:val="20"/>
        </w:rPr>
        <w:t> </w:t>
      </w:r>
      <w:r>
        <w:rPr>
          <w:i/>
          <w:sz w:val="20"/>
        </w:rPr>
        <w:t>derivadas de</w:t>
      </w:r>
      <w:r>
        <w:rPr>
          <w:i/>
          <w:spacing w:val="-1"/>
          <w:sz w:val="20"/>
        </w:rPr>
        <w:t> </w:t>
      </w:r>
      <w:r>
        <w:rPr>
          <w:i/>
          <w:sz w:val="20"/>
        </w:rPr>
        <w:t>donativos,</w:t>
      </w:r>
      <w:r>
        <w:rPr>
          <w:i/>
          <w:spacing w:val="-1"/>
          <w:sz w:val="20"/>
        </w:rPr>
        <w:t> </w:t>
      </w:r>
      <w:r>
        <w:rPr>
          <w:i/>
          <w:sz w:val="20"/>
        </w:rPr>
        <w:t>donaciones</w:t>
      </w:r>
      <w:r>
        <w:rPr>
          <w:i/>
          <w:spacing w:val="-1"/>
          <w:sz w:val="20"/>
        </w:rPr>
        <w:t> </w:t>
      </w:r>
      <w:r>
        <w:rPr>
          <w:i/>
          <w:sz w:val="20"/>
        </w:rPr>
        <w:t>y </w:t>
      </w:r>
      <w:r>
        <w:rPr>
          <w:i/>
          <w:spacing w:val="-2"/>
          <w:sz w:val="20"/>
        </w:rPr>
        <w:t>aportaciones.</w:t>
      </w:r>
    </w:p>
    <w:p>
      <w:pPr>
        <w:pStyle w:val="ListParagraph"/>
        <w:numPr>
          <w:ilvl w:val="0"/>
          <w:numId w:val="13"/>
        </w:numPr>
        <w:tabs>
          <w:tab w:pos="838" w:val="left" w:leader="none"/>
        </w:tabs>
        <w:spacing w:line="249" w:lineRule="auto" w:before="124" w:after="0"/>
        <w:ind w:left="255" w:right="1103" w:firstLine="340"/>
        <w:jc w:val="both"/>
        <w:rPr>
          <w:sz w:val="20"/>
        </w:rPr>
      </w:pPr>
      <w:r>
        <w:rPr>
          <w:sz w:val="20"/>
        </w:rPr>
        <w:t>Estarán exentas del Impuesto sobre la Renta de las Personas Físicas, del Impuesto sobre Sociedades o del Impuesto sobre la Renta de no Residentes que grave la renta del donante o aportante las ganancias patrimoniales y las rentas positivas que se pongan de manifiesto con ocasión de los donativos, donaciones y aportaciones a que se refiere el artículo 17 de esta Ley.</w:t>
      </w:r>
    </w:p>
    <w:p>
      <w:pPr>
        <w:pStyle w:val="ListParagraph"/>
        <w:numPr>
          <w:ilvl w:val="0"/>
          <w:numId w:val="13"/>
        </w:numPr>
        <w:tabs>
          <w:tab w:pos="874" w:val="left" w:leader="none"/>
        </w:tabs>
        <w:spacing w:line="249" w:lineRule="auto" w:before="4" w:after="0"/>
        <w:ind w:left="255" w:right="1103" w:firstLine="340"/>
        <w:jc w:val="both"/>
        <w:rPr>
          <w:sz w:val="20"/>
        </w:rPr>
      </w:pPr>
      <w:r>
        <w:rPr>
          <w:sz w:val="20"/>
        </w:rPr>
        <w:t>Estarán exentos del Impuesto sobre el Incremento de Valor de los Terrenos de Naturaleza Urbana los incrementos que se pongan de manifiesto en las transmisiones de terrenos, o en la constitución o transmisión de derechos reales de goce limitativos del dominio, realizadas con ocasión de los donativos, donaciones y aportaciones a que se</w:t>
      </w:r>
      <w:r>
        <w:rPr>
          <w:spacing w:val="80"/>
          <w:sz w:val="20"/>
        </w:rPr>
        <w:t> </w:t>
      </w:r>
      <w:r>
        <w:rPr>
          <w:sz w:val="20"/>
        </w:rPr>
        <w:t>refiere el artículo 17 de esta Ley.</w:t>
      </w:r>
    </w:p>
    <w:p>
      <w:pPr>
        <w:pStyle w:val="ListParagraph"/>
        <w:spacing w:after="0" w:line="249" w:lineRule="auto"/>
        <w:jc w:val="both"/>
        <w:rPr>
          <w:sz w:val="20"/>
        </w:rPr>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spacing w:before="1"/>
        <w:ind w:left="255" w:right="0" w:firstLine="0"/>
        <w:jc w:val="left"/>
        <w:rPr>
          <w:i/>
          <w:sz w:val="20"/>
        </w:rPr>
      </w:pPr>
      <w:bookmarkStart w:name="Artículo 24. Justificación de los donati" w:id="66"/>
      <w:bookmarkEnd w:id="66"/>
      <w:r>
        <w:rPr/>
      </w:r>
      <w:bookmarkStart w:name="_bookmark32" w:id="67"/>
      <w:bookmarkEnd w:id="67"/>
      <w:r>
        <w:rPr/>
      </w:r>
      <w:r>
        <w:rPr>
          <w:b/>
          <w:sz w:val="20"/>
        </w:rPr>
        <w:t>Artículo</w:t>
      </w:r>
      <w:r>
        <w:rPr>
          <w:b/>
          <w:spacing w:val="-2"/>
          <w:sz w:val="20"/>
        </w:rPr>
        <w:t> </w:t>
      </w:r>
      <w:r>
        <w:rPr>
          <w:b/>
          <w:sz w:val="20"/>
        </w:rPr>
        <w:t>24.</w:t>
      </w:r>
      <w:r>
        <w:rPr>
          <w:b/>
          <w:spacing w:val="52"/>
          <w:sz w:val="20"/>
        </w:rPr>
        <w:t> </w:t>
      </w:r>
      <w:r>
        <w:rPr>
          <w:i/>
          <w:sz w:val="20"/>
        </w:rPr>
        <w:t>Justificación</w:t>
      </w:r>
      <w:r>
        <w:rPr>
          <w:i/>
          <w:spacing w:val="-2"/>
          <w:sz w:val="20"/>
        </w:rPr>
        <w:t> </w:t>
      </w:r>
      <w:r>
        <w:rPr>
          <w:i/>
          <w:sz w:val="20"/>
        </w:rPr>
        <w:t>de</w:t>
      </w:r>
      <w:r>
        <w:rPr>
          <w:i/>
          <w:spacing w:val="-1"/>
          <w:sz w:val="20"/>
        </w:rPr>
        <w:t> </w:t>
      </w:r>
      <w:r>
        <w:rPr>
          <w:i/>
          <w:sz w:val="20"/>
        </w:rPr>
        <w:t>los</w:t>
      </w:r>
      <w:r>
        <w:rPr>
          <w:i/>
          <w:spacing w:val="-1"/>
          <w:sz w:val="20"/>
        </w:rPr>
        <w:t> </w:t>
      </w:r>
      <w:r>
        <w:rPr>
          <w:i/>
          <w:sz w:val="20"/>
        </w:rPr>
        <w:t>donativos,</w:t>
      </w:r>
      <w:r>
        <w:rPr>
          <w:i/>
          <w:spacing w:val="-2"/>
          <w:sz w:val="20"/>
        </w:rPr>
        <w:t> </w:t>
      </w:r>
      <w:r>
        <w:rPr>
          <w:i/>
          <w:sz w:val="20"/>
        </w:rPr>
        <w:t>donaciones</w:t>
      </w:r>
      <w:r>
        <w:rPr>
          <w:i/>
          <w:spacing w:val="-1"/>
          <w:sz w:val="20"/>
        </w:rPr>
        <w:t> </w:t>
      </w:r>
      <w:r>
        <w:rPr>
          <w:i/>
          <w:sz w:val="20"/>
        </w:rPr>
        <w:t>y</w:t>
      </w:r>
      <w:r>
        <w:rPr>
          <w:i/>
          <w:spacing w:val="-1"/>
          <w:sz w:val="20"/>
        </w:rPr>
        <w:t> </w:t>
      </w:r>
      <w:r>
        <w:rPr>
          <w:i/>
          <w:sz w:val="20"/>
        </w:rPr>
        <w:t>aportaciones</w:t>
      </w:r>
      <w:r>
        <w:rPr>
          <w:i/>
          <w:spacing w:val="-1"/>
          <w:sz w:val="20"/>
        </w:rPr>
        <w:t> </w:t>
      </w:r>
      <w:r>
        <w:rPr>
          <w:i/>
          <w:spacing w:val="-2"/>
          <w:sz w:val="20"/>
        </w:rPr>
        <w:t>deducibles.</w:t>
      </w:r>
    </w:p>
    <w:p>
      <w:pPr>
        <w:pStyle w:val="ListParagraph"/>
        <w:numPr>
          <w:ilvl w:val="0"/>
          <w:numId w:val="14"/>
        </w:numPr>
        <w:tabs>
          <w:tab w:pos="844" w:val="left" w:leader="none"/>
        </w:tabs>
        <w:spacing w:line="249" w:lineRule="auto" w:before="123" w:after="0"/>
        <w:ind w:left="255" w:right="1104" w:firstLine="340"/>
        <w:jc w:val="both"/>
        <w:rPr>
          <w:sz w:val="20"/>
        </w:rPr>
      </w:pPr>
      <w:r>
        <w:rPr>
          <w:sz w:val="20"/>
        </w:rPr>
        <w:t>La efectividad de los donativos, donaciones y aportaciones deducibles se justificará mediante certificación expedida por la entidad beneficiaria, con los requisitos que se establezcan reglamentariamente.</w:t>
      </w:r>
    </w:p>
    <w:p>
      <w:pPr>
        <w:pStyle w:val="ListParagraph"/>
        <w:numPr>
          <w:ilvl w:val="0"/>
          <w:numId w:val="14"/>
        </w:numPr>
        <w:tabs>
          <w:tab w:pos="837" w:val="left" w:leader="none"/>
        </w:tabs>
        <w:spacing w:line="249" w:lineRule="auto" w:before="3" w:after="0"/>
        <w:ind w:left="255" w:right="1104" w:firstLine="340"/>
        <w:jc w:val="both"/>
        <w:rPr>
          <w:sz w:val="20"/>
        </w:rPr>
      </w:pPr>
      <w:r>
        <w:rPr>
          <w:sz w:val="20"/>
        </w:rPr>
        <w:t>La entidad beneficiaria deberá remitir a la Administración tributaria, en la forma y en</w:t>
      </w:r>
      <w:r>
        <w:rPr>
          <w:spacing w:val="40"/>
          <w:sz w:val="20"/>
        </w:rPr>
        <w:t> </w:t>
      </w:r>
      <w:r>
        <w:rPr>
          <w:sz w:val="20"/>
        </w:rPr>
        <w:t>los plazos que se establezcan reglamentariamente, la información sobre las certificaciones </w:t>
      </w:r>
      <w:r>
        <w:rPr>
          <w:spacing w:val="-2"/>
          <w:sz w:val="20"/>
        </w:rPr>
        <w:t>expedidas.</w:t>
      </w:r>
    </w:p>
    <w:p>
      <w:pPr>
        <w:pStyle w:val="ListParagraph"/>
        <w:numPr>
          <w:ilvl w:val="0"/>
          <w:numId w:val="14"/>
        </w:numPr>
        <w:tabs>
          <w:tab w:pos="874" w:val="left" w:leader="none"/>
        </w:tabs>
        <w:spacing w:line="249" w:lineRule="auto" w:before="2" w:after="0"/>
        <w:ind w:left="255" w:right="1105" w:firstLine="340"/>
        <w:jc w:val="both"/>
        <w:rPr>
          <w:sz w:val="20"/>
        </w:rPr>
      </w:pPr>
      <w:r>
        <w:rPr>
          <w:sz w:val="20"/>
        </w:rPr>
        <w:t>La certificación a la que se hace referencia en los apartados anteriores deberá contener, al menos, los siguientes extremos:</w:t>
      </w:r>
    </w:p>
    <w:p>
      <w:pPr>
        <w:pStyle w:val="ListParagraph"/>
        <w:numPr>
          <w:ilvl w:val="1"/>
          <w:numId w:val="14"/>
        </w:numPr>
        <w:tabs>
          <w:tab w:pos="843" w:val="left" w:leader="none"/>
        </w:tabs>
        <w:spacing w:line="249" w:lineRule="auto" w:before="122" w:after="0"/>
        <w:ind w:left="255" w:right="1105" w:firstLine="340"/>
        <w:jc w:val="left"/>
        <w:rPr>
          <w:sz w:val="20"/>
        </w:rPr>
      </w:pPr>
      <w:r>
        <w:rPr>
          <w:sz w:val="20"/>
        </w:rPr>
        <w:t>El número de identificación fiscal y los datos de identificación personal del donante y de la entidad donataria.</w:t>
      </w:r>
    </w:p>
    <w:p>
      <w:pPr>
        <w:pStyle w:val="ListParagraph"/>
        <w:numPr>
          <w:ilvl w:val="1"/>
          <w:numId w:val="14"/>
        </w:numPr>
        <w:tabs>
          <w:tab w:pos="845" w:val="left" w:leader="none"/>
        </w:tabs>
        <w:spacing w:line="249" w:lineRule="auto" w:before="1" w:after="0"/>
        <w:ind w:left="255" w:right="1106" w:firstLine="340"/>
        <w:jc w:val="left"/>
        <w:rPr>
          <w:sz w:val="20"/>
        </w:rPr>
      </w:pPr>
      <w:r>
        <w:rPr>
          <w:sz w:val="20"/>
        </w:rPr>
        <w:t>Mención expresa de que la entidad donataria se encuentra incluida en las reguladas en el artículo 16 de esta Ley.</w:t>
      </w:r>
    </w:p>
    <w:p>
      <w:pPr>
        <w:pStyle w:val="ListParagraph"/>
        <w:numPr>
          <w:ilvl w:val="1"/>
          <w:numId w:val="14"/>
        </w:numPr>
        <w:tabs>
          <w:tab w:pos="817" w:val="left" w:leader="none"/>
        </w:tabs>
        <w:spacing w:line="240" w:lineRule="auto" w:before="2" w:after="0"/>
        <w:ind w:left="817" w:right="0" w:hanging="222"/>
        <w:jc w:val="left"/>
        <w:rPr>
          <w:sz w:val="20"/>
        </w:rPr>
      </w:pPr>
      <w:r>
        <w:rPr>
          <w:sz w:val="20"/>
        </w:rPr>
        <w:t>Fecha</w:t>
      </w:r>
      <w:r>
        <w:rPr>
          <w:spacing w:val="-4"/>
          <w:sz w:val="20"/>
        </w:rPr>
        <w:t> </w:t>
      </w:r>
      <w:r>
        <w:rPr>
          <w:sz w:val="20"/>
        </w:rPr>
        <w:t>e</w:t>
      </w:r>
      <w:r>
        <w:rPr>
          <w:spacing w:val="-4"/>
          <w:sz w:val="20"/>
        </w:rPr>
        <w:t> </w:t>
      </w:r>
      <w:r>
        <w:rPr>
          <w:sz w:val="20"/>
        </w:rPr>
        <w:t>importe</w:t>
      </w:r>
      <w:r>
        <w:rPr>
          <w:spacing w:val="-3"/>
          <w:sz w:val="20"/>
        </w:rPr>
        <w:t> </w:t>
      </w:r>
      <w:r>
        <w:rPr>
          <w:sz w:val="20"/>
        </w:rPr>
        <w:t>del</w:t>
      </w:r>
      <w:r>
        <w:rPr>
          <w:spacing w:val="-4"/>
          <w:sz w:val="20"/>
        </w:rPr>
        <w:t> </w:t>
      </w:r>
      <w:r>
        <w:rPr>
          <w:sz w:val="20"/>
        </w:rPr>
        <w:t>donativo</w:t>
      </w:r>
      <w:r>
        <w:rPr>
          <w:spacing w:val="-4"/>
          <w:sz w:val="20"/>
        </w:rPr>
        <w:t> </w:t>
      </w:r>
      <w:r>
        <w:rPr>
          <w:sz w:val="20"/>
        </w:rPr>
        <w:t>cuando</w:t>
      </w:r>
      <w:r>
        <w:rPr>
          <w:spacing w:val="-3"/>
          <w:sz w:val="20"/>
        </w:rPr>
        <w:t> </w:t>
      </w:r>
      <w:r>
        <w:rPr>
          <w:sz w:val="20"/>
        </w:rPr>
        <w:t>éste</w:t>
      </w:r>
      <w:r>
        <w:rPr>
          <w:spacing w:val="-4"/>
          <w:sz w:val="20"/>
        </w:rPr>
        <w:t> </w:t>
      </w:r>
      <w:r>
        <w:rPr>
          <w:sz w:val="20"/>
        </w:rPr>
        <w:t>sea</w:t>
      </w:r>
      <w:r>
        <w:rPr>
          <w:spacing w:val="-3"/>
          <w:sz w:val="20"/>
        </w:rPr>
        <w:t> </w:t>
      </w:r>
      <w:r>
        <w:rPr>
          <w:spacing w:val="-2"/>
          <w:sz w:val="20"/>
        </w:rPr>
        <w:t>dinerario.</w:t>
      </w:r>
    </w:p>
    <w:p>
      <w:pPr>
        <w:pStyle w:val="ListParagraph"/>
        <w:numPr>
          <w:ilvl w:val="1"/>
          <w:numId w:val="14"/>
        </w:numPr>
        <w:tabs>
          <w:tab w:pos="882" w:val="left" w:leader="none"/>
        </w:tabs>
        <w:spacing w:line="249" w:lineRule="auto" w:before="10" w:after="0"/>
        <w:ind w:left="255" w:right="1105" w:firstLine="340"/>
        <w:jc w:val="left"/>
        <w:rPr>
          <w:sz w:val="20"/>
        </w:rPr>
      </w:pPr>
      <w:r>
        <w:rPr>
          <w:sz w:val="20"/>
        </w:rPr>
        <w:t>Documento</w:t>
      </w:r>
      <w:r>
        <w:rPr>
          <w:spacing w:val="40"/>
          <w:sz w:val="20"/>
        </w:rPr>
        <w:t> </w:t>
      </w:r>
      <w:r>
        <w:rPr>
          <w:sz w:val="20"/>
        </w:rPr>
        <w:t>público</w:t>
      </w:r>
      <w:r>
        <w:rPr>
          <w:spacing w:val="40"/>
          <w:sz w:val="20"/>
        </w:rPr>
        <w:t> </w:t>
      </w:r>
      <w:r>
        <w:rPr>
          <w:sz w:val="20"/>
        </w:rPr>
        <w:t>u</w:t>
      </w:r>
      <w:r>
        <w:rPr>
          <w:spacing w:val="40"/>
          <w:sz w:val="20"/>
        </w:rPr>
        <w:t> </w:t>
      </w:r>
      <w:r>
        <w:rPr>
          <w:sz w:val="20"/>
        </w:rPr>
        <w:t>otro</w:t>
      </w:r>
      <w:r>
        <w:rPr>
          <w:spacing w:val="40"/>
          <w:sz w:val="20"/>
        </w:rPr>
        <w:t> </w:t>
      </w:r>
      <w:r>
        <w:rPr>
          <w:sz w:val="20"/>
        </w:rPr>
        <w:t>documento</w:t>
      </w:r>
      <w:r>
        <w:rPr>
          <w:spacing w:val="40"/>
          <w:sz w:val="20"/>
        </w:rPr>
        <w:t> </w:t>
      </w:r>
      <w:r>
        <w:rPr>
          <w:sz w:val="20"/>
        </w:rPr>
        <w:t>auténtico</w:t>
      </w:r>
      <w:r>
        <w:rPr>
          <w:spacing w:val="40"/>
          <w:sz w:val="20"/>
        </w:rPr>
        <w:t> </w:t>
      </w:r>
      <w:r>
        <w:rPr>
          <w:sz w:val="20"/>
        </w:rPr>
        <w:t>que</w:t>
      </w:r>
      <w:r>
        <w:rPr>
          <w:spacing w:val="40"/>
          <w:sz w:val="20"/>
        </w:rPr>
        <w:t> </w:t>
      </w:r>
      <w:r>
        <w:rPr>
          <w:sz w:val="20"/>
        </w:rPr>
        <w:t>acredite</w:t>
      </w:r>
      <w:r>
        <w:rPr>
          <w:spacing w:val="40"/>
          <w:sz w:val="20"/>
        </w:rPr>
        <w:t> </w:t>
      </w:r>
      <w:r>
        <w:rPr>
          <w:sz w:val="20"/>
        </w:rPr>
        <w:t>la</w:t>
      </w:r>
      <w:r>
        <w:rPr>
          <w:spacing w:val="40"/>
          <w:sz w:val="20"/>
        </w:rPr>
        <w:t> </w:t>
      </w:r>
      <w:r>
        <w:rPr>
          <w:sz w:val="20"/>
        </w:rPr>
        <w:t>entrega</w:t>
      </w:r>
      <w:r>
        <w:rPr>
          <w:spacing w:val="40"/>
          <w:sz w:val="20"/>
        </w:rPr>
        <w:t> </w:t>
      </w:r>
      <w:r>
        <w:rPr>
          <w:sz w:val="20"/>
        </w:rPr>
        <w:t>del</w:t>
      </w:r>
      <w:r>
        <w:rPr>
          <w:spacing w:val="40"/>
          <w:sz w:val="20"/>
        </w:rPr>
        <w:t> </w:t>
      </w:r>
      <w:r>
        <w:rPr>
          <w:sz w:val="20"/>
        </w:rPr>
        <w:t>bien donado cuando no se trate de donativos en dinero.</w:t>
      </w:r>
    </w:p>
    <w:p>
      <w:pPr>
        <w:pStyle w:val="ListParagraph"/>
        <w:numPr>
          <w:ilvl w:val="1"/>
          <w:numId w:val="14"/>
        </w:numPr>
        <w:tabs>
          <w:tab w:pos="867" w:val="left" w:leader="none"/>
        </w:tabs>
        <w:spacing w:line="249" w:lineRule="auto" w:before="2" w:after="0"/>
        <w:ind w:left="255" w:right="1105" w:firstLine="340"/>
        <w:jc w:val="left"/>
        <w:rPr>
          <w:sz w:val="20"/>
        </w:rPr>
      </w:pPr>
      <w:r>
        <w:rPr>
          <w:sz w:val="20"/>
        </w:rPr>
        <w:t>Destino</w:t>
      </w:r>
      <w:r>
        <w:rPr>
          <w:spacing w:val="37"/>
          <w:sz w:val="20"/>
        </w:rPr>
        <w:t> </w:t>
      </w:r>
      <w:r>
        <w:rPr>
          <w:sz w:val="20"/>
        </w:rPr>
        <w:t>que</w:t>
      </w:r>
      <w:r>
        <w:rPr>
          <w:spacing w:val="37"/>
          <w:sz w:val="20"/>
        </w:rPr>
        <w:t> </w:t>
      </w:r>
      <w:r>
        <w:rPr>
          <w:sz w:val="20"/>
        </w:rPr>
        <w:t>la</w:t>
      </w:r>
      <w:r>
        <w:rPr>
          <w:spacing w:val="37"/>
          <w:sz w:val="20"/>
        </w:rPr>
        <w:t> </w:t>
      </w:r>
      <w:r>
        <w:rPr>
          <w:sz w:val="20"/>
        </w:rPr>
        <w:t>entidad</w:t>
      </w:r>
      <w:r>
        <w:rPr>
          <w:spacing w:val="37"/>
          <w:sz w:val="20"/>
        </w:rPr>
        <w:t> </w:t>
      </w:r>
      <w:r>
        <w:rPr>
          <w:sz w:val="20"/>
        </w:rPr>
        <w:t>donataria</w:t>
      </w:r>
      <w:r>
        <w:rPr>
          <w:spacing w:val="37"/>
          <w:sz w:val="20"/>
        </w:rPr>
        <w:t> </w:t>
      </w:r>
      <w:r>
        <w:rPr>
          <w:sz w:val="20"/>
        </w:rPr>
        <w:t>dará</w:t>
      </w:r>
      <w:r>
        <w:rPr>
          <w:spacing w:val="37"/>
          <w:sz w:val="20"/>
        </w:rPr>
        <w:t> </w:t>
      </w:r>
      <w:r>
        <w:rPr>
          <w:sz w:val="20"/>
        </w:rPr>
        <w:t>al</w:t>
      </w:r>
      <w:r>
        <w:rPr>
          <w:spacing w:val="37"/>
          <w:sz w:val="20"/>
        </w:rPr>
        <w:t> </w:t>
      </w:r>
      <w:r>
        <w:rPr>
          <w:sz w:val="20"/>
        </w:rPr>
        <w:t>objeto</w:t>
      </w:r>
      <w:r>
        <w:rPr>
          <w:spacing w:val="37"/>
          <w:sz w:val="20"/>
        </w:rPr>
        <w:t> </w:t>
      </w:r>
      <w:r>
        <w:rPr>
          <w:sz w:val="20"/>
        </w:rPr>
        <w:t>donado</w:t>
      </w:r>
      <w:r>
        <w:rPr>
          <w:spacing w:val="37"/>
          <w:sz w:val="20"/>
        </w:rPr>
        <w:t> </w:t>
      </w:r>
      <w:r>
        <w:rPr>
          <w:sz w:val="20"/>
        </w:rPr>
        <w:t>en</w:t>
      </w:r>
      <w:r>
        <w:rPr>
          <w:spacing w:val="37"/>
          <w:sz w:val="20"/>
        </w:rPr>
        <w:t> </w:t>
      </w:r>
      <w:r>
        <w:rPr>
          <w:sz w:val="20"/>
        </w:rPr>
        <w:t>el</w:t>
      </w:r>
      <w:r>
        <w:rPr>
          <w:spacing w:val="37"/>
          <w:sz w:val="20"/>
        </w:rPr>
        <w:t> </w:t>
      </w:r>
      <w:r>
        <w:rPr>
          <w:sz w:val="20"/>
        </w:rPr>
        <w:t>cumplimiento</w:t>
      </w:r>
      <w:r>
        <w:rPr>
          <w:spacing w:val="37"/>
          <w:sz w:val="20"/>
        </w:rPr>
        <w:t> </w:t>
      </w:r>
      <w:r>
        <w:rPr>
          <w:sz w:val="20"/>
        </w:rPr>
        <w:t>de</w:t>
      </w:r>
      <w:r>
        <w:rPr>
          <w:spacing w:val="37"/>
          <w:sz w:val="20"/>
        </w:rPr>
        <w:t> </w:t>
      </w:r>
      <w:r>
        <w:rPr>
          <w:sz w:val="20"/>
        </w:rPr>
        <w:t>su finalidad específica.</w:t>
      </w:r>
    </w:p>
    <w:p>
      <w:pPr>
        <w:pStyle w:val="ListParagraph"/>
        <w:numPr>
          <w:ilvl w:val="1"/>
          <w:numId w:val="14"/>
        </w:numPr>
        <w:tabs>
          <w:tab w:pos="773" w:val="left" w:leader="none"/>
        </w:tabs>
        <w:spacing w:line="249" w:lineRule="auto" w:before="1" w:after="0"/>
        <w:ind w:left="255" w:right="1106" w:firstLine="340"/>
        <w:jc w:val="left"/>
        <w:rPr>
          <w:sz w:val="20"/>
        </w:rPr>
      </w:pPr>
      <w:r>
        <w:rPr>
          <w:sz w:val="20"/>
        </w:rPr>
        <w:t>Mención</w:t>
      </w:r>
      <w:r>
        <w:rPr>
          <w:spacing w:val="-2"/>
          <w:sz w:val="20"/>
        </w:rPr>
        <w:t> </w:t>
      </w:r>
      <w:r>
        <w:rPr>
          <w:sz w:val="20"/>
        </w:rPr>
        <w:t>expresa</w:t>
      </w:r>
      <w:r>
        <w:rPr>
          <w:spacing w:val="-2"/>
          <w:sz w:val="20"/>
        </w:rPr>
        <w:t> </w:t>
      </w:r>
      <w:r>
        <w:rPr>
          <w:sz w:val="20"/>
        </w:rPr>
        <w:t>del</w:t>
      </w:r>
      <w:r>
        <w:rPr>
          <w:spacing w:val="-2"/>
          <w:sz w:val="20"/>
        </w:rPr>
        <w:t> </w:t>
      </w:r>
      <w:r>
        <w:rPr>
          <w:sz w:val="20"/>
        </w:rPr>
        <w:t>carácter</w:t>
      </w:r>
      <w:r>
        <w:rPr>
          <w:spacing w:val="-2"/>
          <w:sz w:val="20"/>
        </w:rPr>
        <w:t> </w:t>
      </w:r>
      <w:r>
        <w:rPr>
          <w:sz w:val="20"/>
        </w:rPr>
        <w:t>irrevocable</w:t>
      </w:r>
      <w:r>
        <w:rPr>
          <w:spacing w:val="-2"/>
          <w:sz w:val="20"/>
        </w:rPr>
        <w:t> </w:t>
      </w:r>
      <w:r>
        <w:rPr>
          <w:sz w:val="20"/>
        </w:rPr>
        <w:t>de</w:t>
      </w:r>
      <w:r>
        <w:rPr>
          <w:spacing w:val="-2"/>
          <w:sz w:val="20"/>
        </w:rPr>
        <w:t> </w:t>
      </w:r>
      <w:r>
        <w:rPr>
          <w:sz w:val="20"/>
        </w:rPr>
        <w:t>la</w:t>
      </w:r>
      <w:r>
        <w:rPr>
          <w:spacing w:val="-2"/>
          <w:sz w:val="20"/>
        </w:rPr>
        <w:t> </w:t>
      </w:r>
      <w:r>
        <w:rPr>
          <w:sz w:val="20"/>
        </w:rPr>
        <w:t>donación,</w:t>
      </w:r>
      <w:r>
        <w:rPr>
          <w:spacing w:val="-2"/>
          <w:sz w:val="20"/>
        </w:rPr>
        <w:t> </w:t>
      </w:r>
      <w:r>
        <w:rPr>
          <w:sz w:val="20"/>
        </w:rPr>
        <w:t>sin</w:t>
      </w:r>
      <w:r>
        <w:rPr>
          <w:spacing w:val="-2"/>
          <w:sz w:val="20"/>
        </w:rPr>
        <w:t> </w:t>
      </w:r>
      <w:r>
        <w:rPr>
          <w:sz w:val="20"/>
        </w:rPr>
        <w:t>perjuicio</w:t>
      </w:r>
      <w:r>
        <w:rPr>
          <w:spacing w:val="-2"/>
          <w:sz w:val="20"/>
        </w:rPr>
        <w:t> </w:t>
      </w:r>
      <w:r>
        <w:rPr>
          <w:sz w:val="20"/>
        </w:rPr>
        <w:t>de</w:t>
      </w:r>
      <w:r>
        <w:rPr>
          <w:spacing w:val="-2"/>
          <w:sz w:val="20"/>
        </w:rPr>
        <w:t> </w:t>
      </w:r>
      <w:r>
        <w:rPr>
          <w:sz w:val="20"/>
        </w:rPr>
        <w:t>lo</w:t>
      </w:r>
      <w:r>
        <w:rPr>
          <w:spacing w:val="-2"/>
          <w:sz w:val="20"/>
        </w:rPr>
        <w:t> </w:t>
      </w:r>
      <w:r>
        <w:rPr>
          <w:sz w:val="20"/>
        </w:rPr>
        <w:t>establecido en las normas imperativas civiles que regulan la revocación de donaciones.</w:t>
      </w:r>
    </w:p>
    <w:p>
      <w:pPr>
        <w:pStyle w:val="BodyText"/>
        <w:spacing w:before="112"/>
        <w:ind w:left="0" w:firstLine="0"/>
        <w:jc w:val="left"/>
      </w:pPr>
    </w:p>
    <w:p>
      <w:pPr>
        <w:pStyle w:val="BodyText"/>
        <w:spacing w:before="0"/>
        <w:ind w:left="1863" w:right="2712" w:firstLine="0"/>
        <w:jc w:val="center"/>
      </w:pPr>
      <w:bookmarkStart w:name="CAPÍTULO III. Régimen fiscal de otras fo" w:id="68"/>
      <w:bookmarkEnd w:id="68"/>
      <w:r>
        <w:rPr/>
      </w:r>
      <w:bookmarkStart w:name="_bookmark33" w:id="69"/>
      <w:bookmarkEnd w:id="69"/>
      <w:r>
        <w:rPr/>
      </w:r>
      <w:r>
        <w:rPr/>
        <w:t>CAPÍTULO </w:t>
      </w:r>
      <w:r>
        <w:rPr>
          <w:spacing w:val="-5"/>
        </w:rPr>
        <w:t>III</w:t>
      </w:r>
    </w:p>
    <w:p>
      <w:pPr>
        <w:pStyle w:val="Heading2"/>
        <w:ind w:left="1864"/>
      </w:pPr>
      <w:r>
        <w:rPr/>
        <w:t>Régimen</w:t>
      </w:r>
      <w:r>
        <w:rPr>
          <w:spacing w:val="-4"/>
        </w:rPr>
        <w:t> </w:t>
      </w:r>
      <w:r>
        <w:rPr/>
        <w:t>fiscal</w:t>
      </w:r>
      <w:r>
        <w:rPr>
          <w:spacing w:val="-2"/>
        </w:rPr>
        <w:t> </w:t>
      </w:r>
      <w:r>
        <w:rPr/>
        <w:t>de</w:t>
      </w:r>
      <w:r>
        <w:rPr>
          <w:spacing w:val="-2"/>
        </w:rPr>
        <w:t> </w:t>
      </w:r>
      <w:r>
        <w:rPr/>
        <w:t>otras</w:t>
      </w:r>
      <w:r>
        <w:rPr>
          <w:spacing w:val="-2"/>
        </w:rPr>
        <w:t> </w:t>
      </w:r>
      <w:r>
        <w:rPr/>
        <w:t>formas</w:t>
      </w:r>
      <w:r>
        <w:rPr>
          <w:spacing w:val="-2"/>
        </w:rPr>
        <w:t> </w:t>
      </w:r>
      <w:r>
        <w:rPr/>
        <w:t>de</w:t>
      </w:r>
      <w:r>
        <w:rPr>
          <w:spacing w:val="-1"/>
        </w:rPr>
        <w:t> </w:t>
      </w:r>
      <w:r>
        <w:rPr>
          <w:spacing w:val="-2"/>
        </w:rPr>
        <w:t>mecenazgo</w:t>
      </w:r>
    </w:p>
    <w:p>
      <w:pPr>
        <w:pStyle w:val="BodyText"/>
        <w:spacing w:before="7"/>
        <w:ind w:left="0" w:firstLine="0"/>
        <w:jc w:val="left"/>
        <w:rPr>
          <w:b/>
        </w:rPr>
      </w:pPr>
    </w:p>
    <w:p>
      <w:pPr>
        <w:spacing w:before="0"/>
        <w:ind w:left="255" w:right="0" w:firstLine="0"/>
        <w:jc w:val="left"/>
        <w:rPr>
          <w:i/>
          <w:sz w:val="20"/>
        </w:rPr>
      </w:pPr>
      <w:bookmarkStart w:name="Artículo 25. Convenios de colaboración e" w:id="70"/>
      <w:bookmarkEnd w:id="70"/>
      <w:r>
        <w:rPr/>
      </w:r>
      <w:bookmarkStart w:name="_bookmark34" w:id="71"/>
      <w:bookmarkEnd w:id="71"/>
      <w:r>
        <w:rPr/>
      </w:r>
      <w:r>
        <w:rPr>
          <w:b/>
          <w:sz w:val="20"/>
        </w:rPr>
        <w:t>Artículo</w:t>
      </w:r>
      <w:r>
        <w:rPr>
          <w:b/>
          <w:spacing w:val="-3"/>
          <w:sz w:val="20"/>
        </w:rPr>
        <w:t> </w:t>
      </w:r>
      <w:r>
        <w:rPr>
          <w:b/>
          <w:sz w:val="20"/>
        </w:rPr>
        <w:t>25.</w:t>
      </w:r>
      <w:r>
        <w:rPr>
          <w:b/>
          <w:spacing w:val="50"/>
          <w:sz w:val="20"/>
        </w:rPr>
        <w:t> </w:t>
      </w:r>
      <w:r>
        <w:rPr>
          <w:i/>
          <w:sz w:val="20"/>
        </w:rPr>
        <w:t>Convenios</w:t>
      </w:r>
      <w:r>
        <w:rPr>
          <w:i/>
          <w:spacing w:val="-2"/>
          <w:sz w:val="20"/>
        </w:rPr>
        <w:t> </w:t>
      </w:r>
      <w:r>
        <w:rPr>
          <w:i/>
          <w:sz w:val="20"/>
        </w:rPr>
        <w:t>de</w:t>
      </w:r>
      <w:r>
        <w:rPr>
          <w:i/>
          <w:spacing w:val="-2"/>
          <w:sz w:val="20"/>
        </w:rPr>
        <w:t> </w:t>
      </w:r>
      <w:r>
        <w:rPr>
          <w:i/>
          <w:sz w:val="20"/>
        </w:rPr>
        <w:t>colaboración</w:t>
      </w:r>
      <w:r>
        <w:rPr>
          <w:i/>
          <w:spacing w:val="-3"/>
          <w:sz w:val="20"/>
        </w:rPr>
        <w:t> </w:t>
      </w:r>
      <w:r>
        <w:rPr>
          <w:i/>
          <w:sz w:val="20"/>
        </w:rPr>
        <w:t>empresarial</w:t>
      </w:r>
      <w:r>
        <w:rPr>
          <w:i/>
          <w:spacing w:val="-2"/>
          <w:sz w:val="20"/>
        </w:rPr>
        <w:t> </w:t>
      </w:r>
      <w:r>
        <w:rPr>
          <w:i/>
          <w:sz w:val="20"/>
        </w:rPr>
        <w:t>en</w:t>
      </w:r>
      <w:r>
        <w:rPr>
          <w:i/>
          <w:spacing w:val="-2"/>
          <w:sz w:val="20"/>
        </w:rPr>
        <w:t> </w:t>
      </w:r>
      <w:r>
        <w:rPr>
          <w:i/>
          <w:sz w:val="20"/>
        </w:rPr>
        <w:t>actividades</w:t>
      </w:r>
      <w:r>
        <w:rPr>
          <w:i/>
          <w:spacing w:val="-2"/>
          <w:sz w:val="20"/>
        </w:rPr>
        <w:t> </w:t>
      </w:r>
      <w:r>
        <w:rPr>
          <w:i/>
          <w:sz w:val="20"/>
        </w:rPr>
        <w:t>de</w:t>
      </w:r>
      <w:r>
        <w:rPr>
          <w:i/>
          <w:spacing w:val="-2"/>
          <w:sz w:val="20"/>
        </w:rPr>
        <w:t> </w:t>
      </w:r>
      <w:r>
        <w:rPr>
          <w:i/>
          <w:sz w:val="20"/>
        </w:rPr>
        <w:t>interés</w:t>
      </w:r>
      <w:r>
        <w:rPr>
          <w:i/>
          <w:spacing w:val="-2"/>
          <w:sz w:val="20"/>
        </w:rPr>
        <w:t> general.</w:t>
      </w:r>
    </w:p>
    <w:p>
      <w:pPr>
        <w:pStyle w:val="ListParagraph"/>
        <w:numPr>
          <w:ilvl w:val="0"/>
          <w:numId w:val="15"/>
        </w:numPr>
        <w:tabs>
          <w:tab w:pos="859" w:val="left" w:leader="none"/>
        </w:tabs>
        <w:spacing w:line="249" w:lineRule="auto" w:before="124" w:after="0"/>
        <w:ind w:left="255" w:right="1103" w:firstLine="340"/>
        <w:jc w:val="both"/>
        <w:rPr>
          <w:sz w:val="20"/>
        </w:rPr>
      </w:pPr>
      <w:r>
        <w:rPr>
          <w:sz w:val="20"/>
        </w:rPr>
        <w:t>Se entenderá por convenio de colaboración empresarial en actividades de interés general, a los efectos previstos en esta Ley, aquel por el cual las entidades a que se refiere</w:t>
      </w:r>
      <w:r>
        <w:rPr>
          <w:spacing w:val="40"/>
          <w:sz w:val="20"/>
        </w:rPr>
        <w:t> </w:t>
      </w:r>
      <w:r>
        <w:rPr>
          <w:sz w:val="20"/>
        </w:rPr>
        <w:t>el artículo 16, a cambio de una ayuda económica para la realización de las actividades que efectúen en cumplimiento del objeto o finalidad específica de la entidad, ya sea dineraria, en especie o consista en una prestación de servicios realizada en el ejercicio de la actividad económica propia del colaborador, se comprometen por escrito a difundir, por cualquier medio, la participación del colaborador en dichas actividades. Esta difusión podrá ser realizada, asimismo, por el colaborador.</w:t>
      </w:r>
    </w:p>
    <w:p>
      <w:pPr>
        <w:pStyle w:val="BodyText"/>
        <w:spacing w:line="249" w:lineRule="auto" w:before="6"/>
        <w:ind w:right="1105"/>
      </w:pPr>
      <w:r>
        <w:rPr/>
        <w:t>La difusión a que se refiere el párrafo anterior, en el marco de los convenios de colaboración definidos en este artículo no constituye una prestación de servicios.</w:t>
      </w:r>
    </w:p>
    <w:p>
      <w:pPr>
        <w:pStyle w:val="ListParagraph"/>
        <w:numPr>
          <w:ilvl w:val="0"/>
          <w:numId w:val="15"/>
        </w:numPr>
        <w:tabs>
          <w:tab w:pos="822" w:val="left" w:leader="none"/>
        </w:tabs>
        <w:spacing w:line="249" w:lineRule="auto" w:before="2" w:after="0"/>
        <w:ind w:left="255" w:right="1104" w:firstLine="340"/>
        <w:jc w:val="both"/>
        <w:rPr>
          <w:sz w:val="20"/>
        </w:rPr>
      </w:pPr>
      <w:r>
        <w:rPr>
          <w:sz w:val="20"/>
        </w:rPr>
        <w:t>Las cantidades satisfechas o los gastos realizados tendrán la consideración de gastos deducibles para determinar la base imponible del Impuesto sobre Sociedades de la entidad colaboradora o del Impuesto sobre la Renta de no Residentes de los contribuyentes que operen en territorio español mediante establecimiento permanente o el rendimiento neto de</w:t>
      </w:r>
      <w:r>
        <w:rPr>
          <w:spacing w:val="40"/>
          <w:sz w:val="20"/>
        </w:rPr>
        <w:t> </w:t>
      </w:r>
      <w:r>
        <w:rPr>
          <w:sz w:val="20"/>
        </w:rPr>
        <w:t>la actividad económica de los contribuyentes acogidos al régimen de estimación directa del Impuesto sobre la Renta de las Personas Físicas.</w:t>
      </w:r>
    </w:p>
    <w:p>
      <w:pPr>
        <w:pStyle w:val="BodyText"/>
        <w:spacing w:line="249" w:lineRule="auto" w:before="5"/>
        <w:ind w:right="1104"/>
      </w:pPr>
      <w:r>
        <w:rPr/>
        <w:t>Las rentas positivas que, en su caso, pudieran ponerse de manifiesto con ocasión de las ayudas económicas a que se refiere el apartado 1 de este artículo estarán exentas de los impuestos que graven la renta del colaborador.</w:t>
      </w:r>
    </w:p>
    <w:p>
      <w:pPr>
        <w:pStyle w:val="ListParagraph"/>
        <w:numPr>
          <w:ilvl w:val="0"/>
          <w:numId w:val="15"/>
        </w:numPr>
        <w:tabs>
          <w:tab w:pos="881" w:val="left" w:leader="none"/>
        </w:tabs>
        <w:spacing w:line="249" w:lineRule="auto" w:before="2" w:after="0"/>
        <w:ind w:left="255" w:right="1105" w:firstLine="340"/>
        <w:jc w:val="both"/>
        <w:rPr>
          <w:sz w:val="20"/>
        </w:rPr>
      </w:pPr>
      <w:r>
        <w:rPr>
          <w:sz w:val="20"/>
        </w:rPr>
        <w:t>El régimen fiscal aplicable a las ayudas económicas en cumplimiento de estos convenios de colaboración será incompatible con los demás incentivos fiscales previstos en esta Ley.</w:t>
      </w:r>
    </w:p>
    <w:p>
      <w:pPr>
        <w:spacing w:before="229"/>
        <w:ind w:left="255" w:right="0" w:firstLine="0"/>
        <w:jc w:val="left"/>
        <w:rPr>
          <w:i/>
          <w:sz w:val="20"/>
        </w:rPr>
      </w:pPr>
      <w:bookmarkStart w:name="Artículo 26. Gastos en actividades de in" w:id="72"/>
      <w:bookmarkEnd w:id="72"/>
      <w:r>
        <w:rPr/>
      </w:r>
      <w:bookmarkStart w:name="_bookmark35" w:id="73"/>
      <w:bookmarkEnd w:id="73"/>
      <w:r>
        <w:rPr/>
      </w:r>
      <w:r>
        <w:rPr>
          <w:b/>
          <w:sz w:val="20"/>
        </w:rPr>
        <w:t>Artículo</w:t>
      </w:r>
      <w:r>
        <w:rPr>
          <w:b/>
          <w:spacing w:val="-3"/>
          <w:sz w:val="20"/>
        </w:rPr>
        <w:t> </w:t>
      </w:r>
      <w:r>
        <w:rPr>
          <w:b/>
          <w:sz w:val="20"/>
        </w:rPr>
        <w:t>26.</w:t>
      </w:r>
      <w:r>
        <w:rPr>
          <w:b/>
          <w:spacing w:val="54"/>
          <w:sz w:val="20"/>
        </w:rPr>
        <w:t> </w:t>
      </w:r>
      <w:r>
        <w:rPr>
          <w:i/>
          <w:sz w:val="20"/>
        </w:rPr>
        <w:t>Gastos en</w:t>
      </w:r>
      <w:r>
        <w:rPr>
          <w:i/>
          <w:spacing w:val="-1"/>
          <w:sz w:val="20"/>
        </w:rPr>
        <w:t> </w:t>
      </w:r>
      <w:r>
        <w:rPr>
          <w:i/>
          <w:sz w:val="20"/>
        </w:rPr>
        <w:t>actividades de interés </w:t>
      </w:r>
      <w:r>
        <w:rPr>
          <w:i/>
          <w:spacing w:val="-2"/>
          <w:sz w:val="20"/>
        </w:rPr>
        <w:t>general.</w:t>
      </w:r>
    </w:p>
    <w:p>
      <w:pPr>
        <w:pStyle w:val="ListParagraph"/>
        <w:numPr>
          <w:ilvl w:val="0"/>
          <w:numId w:val="16"/>
        </w:numPr>
        <w:tabs>
          <w:tab w:pos="870" w:val="left" w:leader="none"/>
        </w:tabs>
        <w:spacing w:line="249" w:lineRule="auto" w:before="124" w:after="0"/>
        <w:ind w:left="255" w:right="1103" w:firstLine="340"/>
        <w:jc w:val="both"/>
        <w:rPr>
          <w:sz w:val="20"/>
        </w:rPr>
      </w:pPr>
      <w:r>
        <w:rPr>
          <w:sz w:val="20"/>
        </w:rPr>
        <w:t>Para la determinación de la base imponible del Impuesto sobre Sociedades, del Impuesto sobre la Renta de no Residentes de los contribuyentes que operen en territorio español mediante establecimiento permanente o del rendimiento neto de la actividad económica de los contribuyentes acogidos al régimen de estimación directa del Impuesto sobre</w:t>
      </w:r>
      <w:r>
        <w:rPr>
          <w:spacing w:val="17"/>
          <w:sz w:val="20"/>
        </w:rPr>
        <w:t> </w:t>
      </w:r>
      <w:r>
        <w:rPr>
          <w:sz w:val="20"/>
        </w:rPr>
        <w:t>la</w:t>
      </w:r>
      <w:r>
        <w:rPr>
          <w:spacing w:val="18"/>
          <w:sz w:val="20"/>
        </w:rPr>
        <w:t> </w:t>
      </w:r>
      <w:r>
        <w:rPr>
          <w:sz w:val="20"/>
        </w:rPr>
        <w:t>Renta</w:t>
      </w:r>
      <w:r>
        <w:rPr>
          <w:spacing w:val="18"/>
          <w:sz w:val="20"/>
        </w:rPr>
        <w:t> </w:t>
      </w:r>
      <w:r>
        <w:rPr>
          <w:sz w:val="20"/>
        </w:rPr>
        <w:t>de</w:t>
      </w:r>
      <w:r>
        <w:rPr>
          <w:spacing w:val="17"/>
          <w:sz w:val="20"/>
        </w:rPr>
        <w:t> </w:t>
      </w:r>
      <w:r>
        <w:rPr>
          <w:sz w:val="20"/>
        </w:rPr>
        <w:t>las</w:t>
      </w:r>
      <w:r>
        <w:rPr>
          <w:spacing w:val="18"/>
          <w:sz w:val="20"/>
        </w:rPr>
        <w:t> </w:t>
      </w:r>
      <w:r>
        <w:rPr>
          <w:sz w:val="20"/>
        </w:rPr>
        <w:t>Personas</w:t>
      </w:r>
      <w:r>
        <w:rPr>
          <w:spacing w:val="18"/>
          <w:sz w:val="20"/>
        </w:rPr>
        <w:t> </w:t>
      </w:r>
      <w:r>
        <w:rPr>
          <w:sz w:val="20"/>
        </w:rPr>
        <w:t>Físicas,</w:t>
      </w:r>
      <w:r>
        <w:rPr>
          <w:spacing w:val="17"/>
          <w:sz w:val="20"/>
        </w:rPr>
        <w:t> </w:t>
      </w:r>
      <w:r>
        <w:rPr>
          <w:sz w:val="20"/>
        </w:rPr>
        <w:t>tendrán</w:t>
      </w:r>
      <w:r>
        <w:rPr>
          <w:spacing w:val="18"/>
          <w:sz w:val="20"/>
        </w:rPr>
        <w:t> </w:t>
      </w:r>
      <w:r>
        <w:rPr>
          <w:sz w:val="20"/>
        </w:rPr>
        <w:t>la</w:t>
      </w:r>
      <w:r>
        <w:rPr>
          <w:spacing w:val="18"/>
          <w:sz w:val="20"/>
        </w:rPr>
        <w:t> </w:t>
      </w:r>
      <w:r>
        <w:rPr>
          <w:sz w:val="20"/>
        </w:rPr>
        <w:t>consideración</w:t>
      </w:r>
      <w:r>
        <w:rPr>
          <w:spacing w:val="17"/>
          <w:sz w:val="20"/>
        </w:rPr>
        <w:t> </w:t>
      </w:r>
      <w:r>
        <w:rPr>
          <w:sz w:val="20"/>
        </w:rPr>
        <w:t>de</w:t>
      </w:r>
      <w:r>
        <w:rPr>
          <w:spacing w:val="18"/>
          <w:sz w:val="20"/>
        </w:rPr>
        <w:t> </w:t>
      </w:r>
      <w:r>
        <w:rPr>
          <w:sz w:val="20"/>
        </w:rPr>
        <w:t>deducibles</w:t>
      </w:r>
      <w:r>
        <w:rPr>
          <w:spacing w:val="18"/>
          <w:sz w:val="20"/>
        </w:rPr>
        <w:t> </w:t>
      </w:r>
      <w:r>
        <w:rPr>
          <w:sz w:val="20"/>
        </w:rPr>
        <w:t>los</w:t>
      </w:r>
      <w:r>
        <w:rPr>
          <w:spacing w:val="18"/>
          <w:sz w:val="20"/>
        </w:rPr>
        <w:t> </w:t>
      </w:r>
      <w:r>
        <w:rPr>
          <w:spacing w:val="-2"/>
          <w:sz w:val="20"/>
        </w:rPr>
        <w:t>gastos</w:t>
      </w:r>
    </w:p>
    <w:p>
      <w:pPr>
        <w:pStyle w:val="ListParagraph"/>
        <w:spacing w:after="0" w:line="249" w:lineRule="auto"/>
        <w:jc w:val="both"/>
        <w:rPr>
          <w:sz w:val="20"/>
        </w:rPr>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right="1185" w:hanging="1"/>
        <w:jc w:val="left"/>
      </w:pPr>
      <w:r>
        <w:rPr/>
        <w:t>realizados para los fines de interés general a que se refiere el número 1.º del artículo 3 de</w:t>
      </w:r>
      <w:r>
        <w:rPr>
          <w:spacing w:val="40"/>
        </w:rPr>
        <w:t> </w:t>
      </w:r>
      <w:r>
        <w:rPr/>
        <w:t>esta Ley.</w:t>
      </w:r>
    </w:p>
    <w:p>
      <w:pPr>
        <w:pStyle w:val="ListParagraph"/>
        <w:numPr>
          <w:ilvl w:val="0"/>
          <w:numId w:val="16"/>
        </w:numPr>
        <w:tabs>
          <w:tab w:pos="859" w:val="left" w:leader="none"/>
        </w:tabs>
        <w:spacing w:line="249" w:lineRule="auto" w:before="1" w:after="0"/>
        <w:ind w:left="255" w:right="1106" w:firstLine="340"/>
        <w:jc w:val="both"/>
        <w:rPr>
          <w:sz w:val="20"/>
        </w:rPr>
      </w:pPr>
      <w:r>
        <w:rPr>
          <w:sz w:val="20"/>
        </w:rPr>
        <w:t>La deducción de los gastos en actividades de interés general a que se refiere el apartado anterior será incompatible con los demás incentivos fiscales previstos en esta Ley.</w:t>
      </w:r>
    </w:p>
    <w:p>
      <w:pPr>
        <w:spacing w:before="229"/>
        <w:ind w:left="255" w:right="0" w:firstLine="0"/>
        <w:jc w:val="left"/>
        <w:rPr>
          <w:i/>
          <w:sz w:val="20"/>
        </w:rPr>
      </w:pPr>
      <w:bookmarkStart w:name="Artículo 27. Programas de apoyo a aconte" w:id="74"/>
      <w:bookmarkEnd w:id="74"/>
      <w:r>
        <w:rPr/>
      </w:r>
      <w:bookmarkStart w:name="_bookmark36" w:id="75"/>
      <w:bookmarkEnd w:id="75"/>
      <w:r>
        <w:rPr/>
      </w:r>
      <w:r>
        <w:rPr>
          <w:b/>
          <w:sz w:val="20"/>
        </w:rPr>
        <w:t>Artículo</w:t>
      </w:r>
      <w:r>
        <w:rPr>
          <w:b/>
          <w:spacing w:val="-2"/>
          <w:sz w:val="20"/>
        </w:rPr>
        <w:t> </w:t>
      </w:r>
      <w:r>
        <w:rPr>
          <w:b/>
          <w:sz w:val="20"/>
        </w:rPr>
        <w:t>27.</w:t>
      </w:r>
      <w:r>
        <w:rPr>
          <w:b/>
          <w:spacing w:val="51"/>
          <w:sz w:val="20"/>
        </w:rPr>
        <w:t> </w:t>
      </w:r>
      <w:r>
        <w:rPr>
          <w:i/>
          <w:sz w:val="20"/>
        </w:rPr>
        <w:t>Programas</w:t>
      </w:r>
      <w:r>
        <w:rPr>
          <w:i/>
          <w:spacing w:val="-1"/>
          <w:sz w:val="20"/>
        </w:rPr>
        <w:t> </w:t>
      </w:r>
      <w:r>
        <w:rPr>
          <w:i/>
          <w:sz w:val="20"/>
        </w:rPr>
        <w:t>de</w:t>
      </w:r>
      <w:r>
        <w:rPr>
          <w:i/>
          <w:spacing w:val="-2"/>
          <w:sz w:val="20"/>
        </w:rPr>
        <w:t> </w:t>
      </w:r>
      <w:r>
        <w:rPr>
          <w:i/>
          <w:sz w:val="20"/>
        </w:rPr>
        <w:t>apoyo</w:t>
      </w:r>
      <w:r>
        <w:rPr>
          <w:i/>
          <w:spacing w:val="-1"/>
          <w:sz w:val="20"/>
        </w:rPr>
        <w:t> </w:t>
      </w:r>
      <w:r>
        <w:rPr>
          <w:i/>
          <w:sz w:val="20"/>
        </w:rPr>
        <w:t>a</w:t>
      </w:r>
      <w:r>
        <w:rPr>
          <w:i/>
          <w:spacing w:val="-2"/>
          <w:sz w:val="20"/>
        </w:rPr>
        <w:t> </w:t>
      </w:r>
      <w:r>
        <w:rPr>
          <w:i/>
          <w:sz w:val="20"/>
        </w:rPr>
        <w:t>acontecimientos</w:t>
      </w:r>
      <w:r>
        <w:rPr>
          <w:i/>
          <w:spacing w:val="-1"/>
          <w:sz w:val="20"/>
        </w:rPr>
        <w:t> </w:t>
      </w:r>
      <w:r>
        <w:rPr>
          <w:i/>
          <w:sz w:val="20"/>
        </w:rPr>
        <w:t>de</w:t>
      </w:r>
      <w:r>
        <w:rPr>
          <w:i/>
          <w:spacing w:val="-2"/>
          <w:sz w:val="20"/>
        </w:rPr>
        <w:t> </w:t>
      </w:r>
      <w:r>
        <w:rPr>
          <w:i/>
          <w:sz w:val="20"/>
        </w:rPr>
        <w:t>excepcional</w:t>
      </w:r>
      <w:r>
        <w:rPr>
          <w:i/>
          <w:spacing w:val="-1"/>
          <w:sz w:val="20"/>
        </w:rPr>
        <w:t> </w:t>
      </w:r>
      <w:r>
        <w:rPr>
          <w:i/>
          <w:sz w:val="20"/>
        </w:rPr>
        <w:t>interés</w:t>
      </w:r>
      <w:r>
        <w:rPr>
          <w:i/>
          <w:spacing w:val="-1"/>
          <w:sz w:val="20"/>
        </w:rPr>
        <w:t> </w:t>
      </w:r>
      <w:r>
        <w:rPr>
          <w:i/>
          <w:spacing w:val="-2"/>
          <w:sz w:val="20"/>
        </w:rPr>
        <w:t>público.</w:t>
      </w:r>
    </w:p>
    <w:p>
      <w:pPr>
        <w:pStyle w:val="ListParagraph"/>
        <w:numPr>
          <w:ilvl w:val="0"/>
          <w:numId w:val="17"/>
        </w:numPr>
        <w:tabs>
          <w:tab w:pos="820" w:val="left" w:leader="none"/>
        </w:tabs>
        <w:spacing w:line="249" w:lineRule="auto" w:before="123" w:after="0"/>
        <w:ind w:left="255" w:right="1104" w:firstLine="340"/>
        <w:jc w:val="both"/>
        <w:rPr>
          <w:sz w:val="20"/>
        </w:rPr>
      </w:pPr>
      <w:r>
        <w:rPr>
          <w:sz w:val="20"/>
        </w:rPr>
        <w:t>Son programas de apoyo a acontecimientos de excepcional interés público el conjunto de incentivos fiscales específicos aplicables a las actuaciones que se realicen para asegurar el adecuado desarrollo de los acontecimientos que, en su caso, se determinen por Ley.</w:t>
      </w:r>
    </w:p>
    <w:p>
      <w:pPr>
        <w:pStyle w:val="ListParagraph"/>
        <w:numPr>
          <w:ilvl w:val="0"/>
          <w:numId w:val="17"/>
        </w:numPr>
        <w:tabs>
          <w:tab w:pos="831" w:val="left" w:leader="none"/>
        </w:tabs>
        <w:spacing w:line="249" w:lineRule="auto" w:before="3" w:after="0"/>
        <w:ind w:left="255" w:right="1103" w:firstLine="340"/>
        <w:jc w:val="both"/>
        <w:rPr>
          <w:sz w:val="20"/>
        </w:rPr>
      </w:pPr>
      <w:r>
        <w:rPr>
          <w:sz w:val="20"/>
        </w:rPr>
        <w:t>La Ley que apruebe cada uno de estos programas regulará, al menos, los siguientes </w:t>
      </w:r>
      <w:r>
        <w:rPr>
          <w:spacing w:val="-2"/>
          <w:sz w:val="20"/>
        </w:rPr>
        <w:t>extremos:</w:t>
      </w:r>
    </w:p>
    <w:p>
      <w:pPr>
        <w:pStyle w:val="ListParagraph"/>
        <w:numPr>
          <w:ilvl w:val="1"/>
          <w:numId w:val="17"/>
        </w:numPr>
        <w:tabs>
          <w:tab w:pos="828" w:val="left" w:leader="none"/>
        </w:tabs>
        <w:spacing w:line="240" w:lineRule="auto" w:before="121" w:after="0"/>
        <w:ind w:left="828" w:right="0" w:hanging="233"/>
        <w:jc w:val="both"/>
        <w:rPr>
          <w:sz w:val="20"/>
        </w:rPr>
      </w:pPr>
      <w:r>
        <w:rPr>
          <w:sz w:val="20"/>
        </w:rPr>
        <w:t>La</w:t>
      </w:r>
      <w:r>
        <w:rPr>
          <w:spacing w:val="-3"/>
          <w:sz w:val="20"/>
        </w:rPr>
        <w:t> </w:t>
      </w:r>
      <w:r>
        <w:rPr>
          <w:sz w:val="20"/>
        </w:rPr>
        <w:t>duración</w:t>
      </w:r>
      <w:r>
        <w:rPr>
          <w:spacing w:val="-2"/>
          <w:sz w:val="20"/>
        </w:rPr>
        <w:t> </w:t>
      </w:r>
      <w:r>
        <w:rPr>
          <w:sz w:val="20"/>
        </w:rPr>
        <w:t>del</w:t>
      </w:r>
      <w:r>
        <w:rPr>
          <w:spacing w:val="-2"/>
          <w:sz w:val="20"/>
        </w:rPr>
        <w:t> </w:t>
      </w:r>
      <w:r>
        <w:rPr>
          <w:sz w:val="20"/>
        </w:rPr>
        <w:t>programa,</w:t>
      </w:r>
      <w:r>
        <w:rPr>
          <w:spacing w:val="-2"/>
          <w:sz w:val="20"/>
        </w:rPr>
        <w:t> </w:t>
      </w:r>
      <w:r>
        <w:rPr>
          <w:sz w:val="20"/>
        </w:rPr>
        <w:t>que</w:t>
      </w:r>
      <w:r>
        <w:rPr>
          <w:spacing w:val="-2"/>
          <w:sz w:val="20"/>
        </w:rPr>
        <w:t> </w:t>
      </w:r>
      <w:r>
        <w:rPr>
          <w:sz w:val="20"/>
        </w:rPr>
        <w:t>podrá</w:t>
      </w:r>
      <w:r>
        <w:rPr>
          <w:spacing w:val="-2"/>
          <w:sz w:val="20"/>
        </w:rPr>
        <w:t> </w:t>
      </w:r>
      <w:r>
        <w:rPr>
          <w:sz w:val="20"/>
        </w:rPr>
        <w:t>ser</w:t>
      </w:r>
      <w:r>
        <w:rPr>
          <w:spacing w:val="-2"/>
          <w:sz w:val="20"/>
        </w:rPr>
        <w:t> </w:t>
      </w:r>
      <w:r>
        <w:rPr>
          <w:sz w:val="20"/>
        </w:rPr>
        <w:t>de</w:t>
      </w:r>
      <w:r>
        <w:rPr>
          <w:spacing w:val="-2"/>
          <w:sz w:val="20"/>
        </w:rPr>
        <w:t> </w:t>
      </w:r>
      <w:r>
        <w:rPr>
          <w:sz w:val="20"/>
        </w:rPr>
        <w:t>hasta</w:t>
      </w:r>
      <w:r>
        <w:rPr>
          <w:spacing w:val="-2"/>
          <w:sz w:val="20"/>
        </w:rPr>
        <w:t> </w:t>
      </w:r>
      <w:r>
        <w:rPr>
          <w:sz w:val="20"/>
        </w:rPr>
        <w:t>tres</w:t>
      </w:r>
      <w:r>
        <w:rPr>
          <w:spacing w:val="-2"/>
          <w:sz w:val="20"/>
        </w:rPr>
        <w:t> años.</w:t>
      </w:r>
    </w:p>
    <w:p>
      <w:pPr>
        <w:pStyle w:val="ListParagraph"/>
        <w:numPr>
          <w:ilvl w:val="1"/>
          <w:numId w:val="17"/>
        </w:numPr>
        <w:tabs>
          <w:tab w:pos="864" w:val="left" w:leader="none"/>
        </w:tabs>
        <w:spacing w:line="249" w:lineRule="auto" w:before="10" w:after="0"/>
        <w:ind w:left="255" w:right="1105" w:firstLine="340"/>
        <w:jc w:val="both"/>
        <w:rPr>
          <w:sz w:val="20"/>
        </w:rPr>
      </w:pPr>
      <w:r>
        <w:rPr>
          <w:sz w:val="20"/>
        </w:rPr>
        <w:t>La creación de un consorcio o la designación de un órgano administrativo que se encargue de la ejecución del programa y que certifique la adecuación de los gastos e inversiones realizadas a los objetivos y planes del mismo.</w:t>
      </w:r>
    </w:p>
    <w:p>
      <w:pPr>
        <w:pStyle w:val="BodyText"/>
        <w:spacing w:line="249" w:lineRule="auto" w:before="3"/>
        <w:ind w:right="1103"/>
      </w:pPr>
      <w:r>
        <w:rPr/>
        <w:t>En dicho consorcio u órgano estarán representadas, necesariamente, las Administraciones públicas interesadas en el acontecimiento y, en todo caso, el Ministerio de </w:t>
      </w:r>
      <w:r>
        <w:rPr>
          <w:spacing w:val="-2"/>
        </w:rPr>
        <w:t>Hacienda.</w:t>
      </w:r>
    </w:p>
    <w:p>
      <w:pPr>
        <w:pStyle w:val="BodyText"/>
        <w:spacing w:line="249" w:lineRule="auto"/>
        <w:ind w:right="1105"/>
      </w:pPr>
      <w:r>
        <w:rPr/>
        <w:t>Para la emisión de la certificación será necesario el voto favorable de la representación del Ministerio de Hacienda.</w:t>
      </w:r>
    </w:p>
    <w:p>
      <w:pPr>
        <w:pStyle w:val="ListParagraph"/>
        <w:numPr>
          <w:ilvl w:val="1"/>
          <w:numId w:val="17"/>
        </w:numPr>
        <w:tabs>
          <w:tab w:pos="877" w:val="left" w:leader="none"/>
        </w:tabs>
        <w:spacing w:line="249" w:lineRule="auto" w:before="2" w:after="0"/>
        <w:ind w:left="255" w:right="1103" w:firstLine="340"/>
        <w:jc w:val="both"/>
        <w:rPr>
          <w:sz w:val="20"/>
        </w:rPr>
      </w:pPr>
      <w:r>
        <w:rPr>
          <w:sz w:val="20"/>
        </w:rPr>
        <w:t>Las líneas básicas de las actuaciones que se vayan a organizar en apoyo del acontecimiento, sin perjuicio de su desarrollo posterior por el consorcio o por el órgano administrativo correspondiente en planes y programas de actividades específicas.</w:t>
      </w:r>
    </w:p>
    <w:p>
      <w:pPr>
        <w:pStyle w:val="ListParagraph"/>
        <w:numPr>
          <w:ilvl w:val="1"/>
          <w:numId w:val="17"/>
        </w:numPr>
        <w:tabs>
          <w:tab w:pos="830" w:val="left" w:leader="none"/>
        </w:tabs>
        <w:spacing w:line="249" w:lineRule="auto" w:before="2" w:after="0"/>
        <w:ind w:left="255" w:right="1103" w:firstLine="340"/>
        <w:jc w:val="both"/>
        <w:rPr>
          <w:sz w:val="20"/>
        </w:rPr>
      </w:pPr>
      <w:r>
        <w:rPr>
          <w:sz w:val="20"/>
        </w:rPr>
        <w:t>Los</w:t>
      </w:r>
      <w:r>
        <w:rPr>
          <w:spacing w:val="-1"/>
          <w:sz w:val="20"/>
        </w:rPr>
        <w:t> </w:t>
      </w:r>
      <w:r>
        <w:rPr>
          <w:sz w:val="20"/>
        </w:rPr>
        <w:t>beneficios</w:t>
      </w:r>
      <w:r>
        <w:rPr>
          <w:spacing w:val="-1"/>
          <w:sz w:val="20"/>
        </w:rPr>
        <w:t> </w:t>
      </w:r>
      <w:r>
        <w:rPr>
          <w:sz w:val="20"/>
        </w:rPr>
        <w:t>fiscales</w:t>
      </w:r>
      <w:r>
        <w:rPr>
          <w:spacing w:val="-1"/>
          <w:sz w:val="20"/>
        </w:rPr>
        <w:t> </w:t>
      </w:r>
      <w:r>
        <w:rPr>
          <w:sz w:val="20"/>
        </w:rPr>
        <w:t>aplicables</w:t>
      </w:r>
      <w:r>
        <w:rPr>
          <w:spacing w:val="-1"/>
          <w:sz w:val="20"/>
        </w:rPr>
        <w:t> </w:t>
      </w:r>
      <w:r>
        <w:rPr>
          <w:sz w:val="20"/>
        </w:rPr>
        <w:t>a</w:t>
      </w:r>
      <w:r>
        <w:rPr>
          <w:spacing w:val="-1"/>
          <w:sz w:val="20"/>
        </w:rPr>
        <w:t> </w:t>
      </w:r>
      <w:r>
        <w:rPr>
          <w:sz w:val="20"/>
        </w:rPr>
        <w:t>las</w:t>
      </w:r>
      <w:r>
        <w:rPr>
          <w:spacing w:val="-1"/>
          <w:sz w:val="20"/>
        </w:rPr>
        <w:t> </w:t>
      </w:r>
      <w:r>
        <w:rPr>
          <w:sz w:val="20"/>
        </w:rPr>
        <w:t>actuaciones</w:t>
      </w:r>
      <w:r>
        <w:rPr>
          <w:spacing w:val="-1"/>
          <w:sz w:val="20"/>
        </w:rPr>
        <w:t> </w:t>
      </w:r>
      <w:r>
        <w:rPr>
          <w:sz w:val="20"/>
        </w:rPr>
        <w:t>a</w:t>
      </w:r>
      <w:r>
        <w:rPr>
          <w:spacing w:val="-1"/>
          <w:sz w:val="20"/>
        </w:rPr>
        <w:t> </w:t>
      </w:r>
      <w:r>
        <w:rPr>
          <w:sz w:val="20"/>
        </w:rPr>
        <w:t>que</w:t>
      </w:r>
      <w:r>
        <w:rPr>
          <w:spacing w:val="-1"/>
          <w:sz w:val="20"/>
        </w:rPr>
        <w:t> </w:t>
      </w:r>
      <w:r>
        <w:rPr>
          <w:sz w:val="20"/>
        </w:rPr>
        <w:t>se</w:t>
      </w:r>
      <w:r>
        <w:rPr>
          <w:spacing w:val="-1"/>
          <w:sz w:val="20"/>
        </w:rPr>
        <w:t> </w:t>
      </w:r>
      <w:r>
        <w:rPr>
          <w:sz w:val="20"/>
        </w:rPr>
        <w:t>refiere</w:t>
      </w:r>
      <w:r>
        <w:rPr>
          <w:spacing w:val="-1"/>
          <w:sz w:val="20"/>
        </w:rPr>
        <w:t> </w:t>
      </w:r>
      <w:r>
        <w:rPr>
          <w:sz w:val="20"/>
        </w:rPr>
        <w:t>el</w:t>
      </w:r>
      <w:r>
        <w:rPr>
          <w:spacing w:val="-1"/>
          <w:sz w:val="20"/>
        </w:rPr>
        <w:t> </w:t>
      </w:r>
      <w:r>
        <w:rPr>
          <w:sz w:val="20"/>
        </w:rPr>
        <w:t>párrafo</w:t>
      </w:r>
      <w:r>
        <w:rPr>
          <w:spacing w:val="-1"/>
          <w:sz w:val="20"/>
        </w:rPr>
        <w:t> </w:t>
      </w:r>
      <w:r>
        <w:rPr>
          <w:sz w:val="20"/>
        </w:rPr>
        <w:t>anterior, dentro de los límites del apartado siguiente.</w:t>
      </w:r>
    </w:p>
    <w:p>
      <w:pPr>
        <w:pStyle w:val="ListParagraph"/>
        <w:numPr>
          <w:ilvl w:val="0"/>
          <w:numId w:val="17"/>
        </w:numPr>
        <w:tabs>
          <w:tab w:pos="870" w:val="left" w:leader="none"/>
        </w:tabs>
        <w:spacing w:line="249" w:lineRule="auto" w:before="122" w:after="0"/>
        <w:ind w:left="255" w:right="1103" w:firstLine="340"/>
        <w:jc w:val="both"/>
        <w:rPr>
          <w:sz w:val="20"/>
        </w:rPr>
      </w:pPr>
      <w:r>
        <w:rPr>
          <w:sz w:val="20"/>
        </w:rPr>
        <w:t>Los beneficios fiscales establecidos en cada programa serán, como máximo, los </w:t>
      </w:r>
      <w:r>
        <w:rPr>
          <w:spacing w:val="-2"/>
          <w:sz w:val="20"/>
        </w:rPr>
        <w:t>siguientes:</w:t>
      </w:r>
    </w:p>
    <w:p>
      <w:pPr>
        <w:pStyle w:val="BodyText"/>
        <w:spacing w:line="249" w:lineRule="auto"/>
        <w:ind w:right="1104"/>
      </w:pPr>
      <w:r>
        <w:rPr/>
        <w:t>Primero.-Los sujetos pasivos del Impuesto sobre Sociedades, los contribuyentes del Impuesto sobre la Renta de las Personas Físicas que realicen actividades económicas en régimen de estimación directa y los contribuyentes del Impuesto sobre la Renta de no Residentes que operen en territorio español mediante establecimiento permanente podrán deducir</w:t>
      </w:r>
      <w:r>
        <w:rPr>
          <w:spacing w:val="-1"/>
        </w:rPr>
        <w:t> </w:t>
      </w:r>
      <w:r>
        <w:rPr/>
        <w:t>de</w:t>
      </w:r>
      <w:r>
        <w:rPr>
          <w:spacing w:val="-1"/>
        </w:rPr>
        <w:t> </w:t>
      </w:r>
      <w:r>
        <w:rPr/>
        <w:t>la</w:t>
      </w:r>
      <w:r>
        <w:rPr>
          <w:spacing w:val="-1"/>
        </w:rPr>
        <w:t> </w:t>
      </w:r>
      <w:r>
        <w:rPr/>
        <w:t>cuota</w:t>
      </w:r>
      <w:r>
        <w:rPr>
          <w:spacing w:val="-1"/>
        </w:rPr>
        <w:t> </w:t>
      </w:r>
      <w:r>
        <w:rPr/>
        <w:t>íntegra</w:t>
      </w:r>
      <w:r>
        <w:rPr>
          <w:spacing w:val="-1"/>
        </w:rPr>
        <w:t> </w:t>
      </w:r>
      <w:r>
        <w:rPr/>
        <w:t>del</w:t>
      </w:r>
      <w:r>
        <w:rPr>
          <w:spacing w:val="-1"/>
        </w:rPr>
        <w:t> </w:t>
      </w:r>
      <w:r>
        <w:rPr/>
        <w:t>impuesto</w:t>
      </w:r>
      <w:r>
        <w:rPr>
          <w:spacing w:val="-1"/>
        </w:rPr>
        <w:t> </w:t>
      </w:r>
      <w:r>
        <w:rPr/>
        <w:t>el</w:t>
      </w:r>
      <w:r>
        <w:rPr>
          <w:spacing w:val="-1"/>
        </w:rPr>
        <w:t> </w:t>
      </w:r>
      <w:r>
        <w:rPr/>
        <w:t>15</w:t>
      </w:r>
      <w:r>
        <w:rPr>
          <w:spacing w:val="-1"/>
        </w:rPr>
        <w:t> </w:t>
      </w:r>
      <w:r>
        <w:rPr/>
        <w:t>por</w:t>
      </w:r>
      <w:r>
        <w:rPr>
          <w:spacing w:val="-1"/>
        </w:rPr>
        <w:t> </w:t>
      </w:r>
      <w:r>
        <w:rPr/>
        <w:t>100</w:t>
      </w:r>
      <w:r>
        <w:rPr>
          <w:spacing w:val="-1"/>
        </w:rPr>
        <w:t> </w:t>
      </w:r>
      <w:r>
        <w:rPr/>
        <w:t>de</w:t>
      </w:r>
      <w:r>
        <w:rPr>
          <w:spacing w:val="-1"/>
        </w:rPr>
        <w:t> </w:t>
      </w:r>
      <w:r>
        <w:rPr/>
        <w:t>los</w:t>
      </w:r>
      <w:r>
        <w:rPr>
          <w:spacing w:val="-1"/>
        </w:rPr>
        <w:t> </w:t>
      </w:r>
      <w:r>
        <w:rPr/>
        <w:t>gastos</w:t>
      </w:r>
      <w:r>
        <w:rPr>
          <w:spacing w:val="-1"/>
        </w:rPr>
        <w:t> </w:t>
      </w:r>
      <w:r>
        <w:rPr/>
        <w:t>que,</w:t>
      </w:r>
      <w:r>
        <w:rPr>
          <w:spacing w:val="-1"/>
        </w:rPr>
        <w:t> </w:t>
      </w:r>
      <w:r>
        <w:rPr/>
        <w:t>en</w:t>
      </w:r>
      <w:r>
        <w:rPr>
          <w:spacing w:val="-1"/>
        </w:rPr>
        <w:t> </w:t>
      </w:r>
      <w:r>
        <w:rPr/>
        <w:t>cumplimiento</w:t>
      </w:r>
      <w:r>
        <w:rPr>
          <w:spacing w:val="-1"/>
        </w:rPr>
        <w:t> </w:t>
      </w:r>
      <w:r>
        <w:rPr/>
        <w:t>de los planes y programas de actividades establecidos por el consorcio o por el órgano administrativo correspondiente, realicen en la propaganda y publicidad de proyección plurianual que sirvan directamente para la promoción del respectivo acontecimiento.</w:t>
      </w:r>
    </w:p>
    <w:p>
      <w:pPr>
        <w:pStyle w:val="BodyText"/>
        <w:spacing w:line="249" w:lineRule="auto" w:before="6"/>
        <w:ind w:right="1103"/>
      </w:pPr>
      <w:r>
        <w:rPr/>
        <w:t>El importe de esta deducción no puede exceder del 90 por 100 de las donaciones efectuadas al consorcio, entidades de titularidad pública o entidades a que se refiere el artículo</w:t>
      </w:r>
      <w:r>
        <w:rPr>
          <w:spacing w:val="-2"/>
        </w:rPr>
        <w:t> </w:t>
      </w:r>
      <w:r>
        <w:rPr/>
        <w:t>2</w:t>
      </w:r>
      <w:r>
        <w:rPr>
          <w:spacing w:val="-2"/>
        </w:rPr>
        <w:t> </w:t>
      </w:r>
      <w:r>
        <w:rPr/>
        <w:t>de</w:t>
      </w:r>
      <w:r>
        <w:rPr>
          <w:spacing w:val="-2"/>
        </w:rPr>
        <w:t> </w:t>
      </w:r>
      <w:r>
        <w:rPr/>
        <w:t>esta</w:t>
      </w:r>
      <w:r>
        <w:rPr>
          <w:spacing w:val="-2"/>
        </w:rPr>
        <w:t> </w:t>
      </w:r>
      <w:r>
        <w:rPr/>
        <w:t>Ley,</w:t>
      </w:r>
      <w:r>
        <w:rPr>
          <w:spacing w:val="-2"/>
        </w:rPr>
        <w:t> </w:t>
      </w:r>
      <w:r>
        <w:rPr/>
        <w:t>encargadas</w:t>
      </w:r>
      <w:r>
        <w:rPr>
          <w:spacing w:val="-2"/>
        </w:rPr>
        <w:t> </w:t>
      </w:r>
      <w:r>
        <w:rPr/>
        <w:t>de</w:t>
      </w:r>
      <w:r>
        <w:rPr>
          <w:spacing w:val="-2"/>
        </w:rPr>
        <w:t> </w:t>
      </w:r>
      <w:r>
        <w:rPr/>
        <w:t>la</w:t>
      </w:r>
      <w:r>
        <w:rPr>
          <w:spacing w:val="-2"/>
        </w:rPr>
        <w:t> </w:t>
      </w:r>
      <w:r>
        <w:rPr/>
        <w:t>realización</w:t>
      </w:r>
      <w:r>
        <w:rPr>
          <w:spacing w:val="-2"/>
        </w:rPr>
        <w:t> </w:t>
      </w:r>
      <w:r>
        <w:rPr/>
        <w:t>de</w:t>
      </w:r>
      <w:r>
        <w:rPr>
          <w:spacing w:val="-2"/>
        </w:rPr>
        <w:t> </w:t>
      </w:r>
      <w:r>
        <w:rPr/>
        <w:t>programas</w:t>
      </w:r>
      <w:r>
        <w:rPr>
          <w:spacing w:val="-2"/>
        </w:rPr>
        <w:t> </w:t>
      </w:r>
      <w:r>
        <w:rPr/>
        <w:t>y</w:t>
      </w:r>
      <w:r>
        <w:rPr>
          <w:spacing w:val="-2"/>
        </w:rPr>
        <w:t> </w:t>
      </w:r>
      <w:r>
        <w:rPr/>
        <w:t>actividades</w:t>
      </w:r>
      <w:r>
        <w:rPr>
          <w:spacing w:val="-2"/>
        </w:rPr>
        <w:t> </w:t>
      </w:r>
      <w:r>
        <w:rPr/>
        <w:t>relacionadas con el acontecimiento. De aplicarse esta deducción, dichas donaciones no podrán acogerse a cualquiera de los incentivos fiscales previstos en esta Ley.</w:t>
      </w:r>
    </w:p>
    <w:p>
      <w:pPr>
        <w:pStyle w:val="BodyText"/>
        <w:spacing w:line="249" w:lineRule="auto" w:before="4"/>
        <w:ind w:right="1103"/>
      </w:pPr>
      <w:r>
        <w:rPr/>
        <w:t>Cuando el contenido del soporte publicitario se refiera de modo esencial a la divulgación del</w:t>
      </w:r>
      <w:r>
        <w:rPr>
          <w:spacing w:val="-2"/>
        </w:rPr>
        <w:t> </w:t>
      </w:r>
      <w:r>
        <w:rPr/>
        <w:t>acontecimiento,</w:t>
      </w:r>
      <w:r>
        <w:rPr>
          <w:spacing w:val="-2"/>
        </w:rPr>
        <w:t> </w:t>
      </w:r>
      <w:r>
        <w:rPr/>
        <w:t>la</w:t>
      </w:r>
      <w:r>
        <w:rPr>
          <w:spacing w:val="-2"/>
        </w:rPr>
        <w:t> </w:t>
      </w:r>
      <w:r>
        <w:rPr/>
        <w:t>base</w:t>
      </w:r>
      <w:r>
        <w:rPr>
          <w:spacing w:val="-2"/>
        </w:rPr>
        <w:t> </w:t>
      </w:r>
      <w:r>
        <w:rPr/>
        <w:t>de</w:t>
      </w:r>
      <w:r>
        <w:rPr>
          <w:spacing w:val="-2"/>
        </w:rPr>
        <w:t> </w:t>
      </w:r>
      <w:r>
        <w:rPr/>
        <w:t>la</w:t>
      </w:r>
      <w:r>
        <w:rPr>
          <w:spacing w:val="-2"/>
        </w:rPr>
        <w:t> </w:t>
      </w:r>
      <w:r>
        <w:rPr/>
        <w:t>deducción</w:t>
      </w:r>
      <w:r>
        <w:rPr>
          <w:spacing w:val="-2"/>
        </w:rPr>
        <w:t> </w:t>
      </w:r>
      <w:r>
        <w:rPr/>
        <w:t>será</w:t>
      </w:r>
      <w:r>
        <w:rPr>
          <w:spacing w:val="-2"/>
        </w:rPr>
        <w:t> </w:t>
      </w:r>
      <w:r>
        <w:rPr/>
        <w:t>el</w:t>
      </w:r>
      <w:r>
        <w:rPr>
          <w:spacing w:val="-2"/>
        </w:rPr>
        <w:t> </w:t>
      </w:r>
      <w:r>
        <w:rPr/>
        <w:t>importe</w:t>
      </w:r>
      <w:r>
        <w:rPr>
          <w:spacing w:val="-2"/>
        </w:rPr>
        <w:t> </w:t>
      </w:r>
      <w:r>
        <w:rPr/>
        <w:t>total</w:t>
      </w:r>
      <w:r>
        <w:rPr>
          <w:spacing w:val="-2"/>
        </w:rPr>
        <w:t> </w:t>
      </w:r>
      <w:r>
        <w:rPr/>
        <w:t>del</w:t>
      </w:r>
      <w:r>
        <w:rPr>
          <w:spacing w:val="-2"/>
        </w:rPr>
        <w:t> </w:t>
      </w:r>
      <w:r>
        <w:rPr/>
        <w:t>gasto</w:t>
      </w:r>
      <w:r>
        <w:rPr>
          <w:spacing w:val="-2"/>
        </w:rPr>
        <w:t> </w:t>
      </w:r>
      <w:r>
        <w:rPr/>
        <w:t>realizado.</w:t>
      </w:r>
      <w:r>
        <w:rPr>
          <w:spacing w:val="-2"/>
        </w:rPr>
        <w:t> </w:t>
      </w:r>
      <w:r>
        <w:rPr/>
        <w:t>En</w:t>
      </w:r>
      <w:r>
        <w:rPr>
          <w:spacing w:val="-2"/>
        </w:rPr>
        <w:t> </w:t>
      </w:r>
      <w:r>
        <w:rPr/>
        <w:t>caso contrario, la base de la deducción será el 25 por 100 de dicho gasto.</w:t>
      </w:r>
    </w:p>
    <w:p>
      <w:pPr>
        <w:pStyle w:val="BodyText"/>
        <w:spacing w:line="249" w:lineRule="auto" w:before="3"/>
        <w:ind w:right="1103"/>
      </w:pPr>
      <w:r>
        <w:rPr/>
        <w:t>Esta deducción se computará conjuntamente con las reguladas en el Capítulo IV del Título VI del texto refundido de la Ley del Impuesto sobre Sociedades, aprobado por el Real Decreto Legislativo 4/2004, de 5 de marzo, a los efectos establecidos en el artículo 44 del </w:t>
      </w:r>
      <w:r>
        <w:rPr>
          <w:spacing w:val="-2"/>
        </w:rPr>
        <w:t>mismo.</w:t>
      </w:r>
    </w:p>
    <w:p>
      <w:pPr>
        <w:pStyle w:val="BodyText"/>
        <w:spacing w:line="249" w:lineRule="auto" w:before="3"/>
        <w:ind w:right="1102"/>
      </w:pPr>
      <w:r>
        <w:rPr/>
        <w:t>Segundo. Los contribuyentes del Impuesto sobre la Renta de las Personas Físicas, los sujetos pasivos del Impuesto sobre Sociedades y los contribuyentes del Impuesto sobre la Renta de no Residentes que operen en territorio español mediante establecimiento permanente tendrán derecho a las deducciones previstas, respectivamente, en los artículos 19,</w:t>
      </w:r>
      <w:r>
        <w:rPr>
          <w:spacing w:val="-2"/>
        </w:rPr>
        <w:t> </w:t>
      </w:r>
      <w:r>
        <w:rPr/>
        <w:t>20</w:t>
      </w:r>
      <w:r>
        <w:rPr>
          <w:spacing w:val="-2"/>
        </w:rPr>
        <w:t> </w:t>
      </w:r>
      <w:r>
        <w:rPr/>
        <w:t>y</w:t>
      </w:r>
      <w:r>
        <w:rPr>
          <w:spacing w:val="-2"/>
        </w:rPr>
        <w:t> </w:t>
      </w:r>
      <w:r>
        <w:rPr/>
        <w:t>21</w:t>
      </w:r>
      <w:r>
        <w:rPr>
          <w:spacing w:val="-2"/>
        </w:rPr>
        <w:t> </w:t>
      </w:r>
      <w:r>
        <w:rPr/>
        <w:t>de</w:t>
      </w:r>
      <w:r>
        <w:rPr>
          <w:spacing w:val="-2"/>
        </w:rPr>
        <w:t> </w:t>
      </w:r>
      <w:r>
        <w:rPr/>
        <w:t>esta</w:t>
      </w:r>
      <w:r>
        <w:rPr>
          <w:spacing w:val="-2"/>
        </w:rPr>
        <w:t> </w:t>
      </w:r>
      <w:r>
        <w:rPr/>
        <w:t>Ley,</w:t>
      </w:r>
      <w:r>
        <w:rPr>
          <w:spacing w:val="-2"/>
        </w:rPr>
        <w:t> </w:t>
      </w:r>
      <w:r>
        <w:rPr/>
        <w:t>por</w:t>
      </w:r>
      <w:r>
        <w:rPr>
          <w:spacing w:val="-2"/>
        </w:rPr>
        <w:t> </w:t>
      </w:r>
      <w:r>
        <w:rPr/>
        <w:t>las</w:t>
      </w:r>
      <w:r>
        <w:rPr>
          <w:spacing w:val="-2"/>
        </w:rPr>
        <w:t> </w:t>
      </w:r>
      <w:r>
        <w:rPr/>
        <w:t>donaciones</w:t>
      </w:r>
      <w:r>
        <w:rPr>
          <w:spacing w:val="-2"/>
        </w:rPr>
        <w:t> </w:t>
      </w:r>
      <w:r>
        <w:rPr/>
        <w:t>y</w:t>
      </w:r>
      <w:r>
        <w:rPr>
          <w:spacing w:val="-2"/>
        </w:rPr>
        <w:t> </w:t>
      </w:r>
      <w:r>
        <w:rPr/>
        <w:t>aportaciones</w:t>
      </w:r>
      <w:r>
        <w:rPr>
          <w:spacing w:val="-2"/>
        </w:rPr>
        <w:t> </w:t>
      </w:r>
      <w:r>
        <w:rPr/>
        <w:t>que</w:t>
      </w:r>
      <w:r>
        <w:rPr>
          <w:spacing w:val="-2"/>
        </w:rPr>
        <w:t> </w:t>
      </w:r>
      <w:r>
        <w:rPr/>
        <w:t>realicen</w:t>
      </w:r>
      <w:r>
        <w:rPr>
          <w:spacing w:val="-2"/>
        </w:rPr>
        <w:t> </w:t>
      </w:r>
      <w:r>
        <w:rPr/>
        <w:t>a</w:t>
      </w:r>
      <w:r>
        <w:rPr>
          <w:spacing w:val="-2"/>
        </w:rPr>
        <w:t> </w:t>
      </w:r>
      <w:r>
        <w:rPr/>
        <w:t>favor</w:t>
      </w:r>
      <w:r>
        <w:rPr>
          <w:spacing w:val="-2"/>
        </w:rPr>
        <w:t> </w:t>
      </w:r>
      <w:r>
        <w:rPr/>
        <w:t>del</w:t>
      </w:r>
      <w:r>
        <w:rPr>
          <w:spacing w:val="-2"/>
        </w:rPr>
        <w:t> </w:t>
      </w:r>
      <w:r>
        <w:rPr/>
        <w:t>consorcio que, en su caso, se cree con arreglo a lo establecido en el apartado anterior.</w:t>
      </w:r>
    </w:p>
    <w:p>
      <w:pPr>
        <w:pStyle w:val="BodyText"/>
        <w:spacing w:line="249" w:lineRule="auto" w:before="5"/>
        <w:ind w:right="1104"/>
      </w:pPr>
      <w:r>
        <w:rPr/>
        <w:t>El régimen de mecenazgo prioritario previsto en el artículo 22 de esta Ley será de aplicación a los programas y actividades relacionados con el acontecimiento, siempre que sean</w:t>
      </w:r>
      <w:r>
        <w:rPr>
          <w:spacing w:val="26"/>
        </w:rPr>
        <w:t> </w:t>
      </w:r>
      <w:r>
        <w:rPr/>
        <w:t>aprobados</w:t>
      </w:r>
      <w:r>
        <w:rPr>
          <w:spacing w:val="26"/>
        </w:rPr>
        <w:t> </w:t>
      </w:r>
      <w:r>
        <w:rPr/>
        <w:t>por</w:t>
      </w:r>
      <w:r>
        <w:rPr>
          <w:spacing w:val="26"/>
        </w:rPr>
        <w:t> </w:t>
      </w:r>
      <w:r>
        <w:rPr/>
        <w:t>el</w:t>
      </w:r>
      <w:r>
        <w:rPr>
          <w:spacing w:val="26"/>
        </w:rPr>
        <w:t> </w:t>
      </w:r>
      <w:r>
        <w:rPr/>
        <w:t>consorcio</w:t>
      </w:r>
      <w:r>
        <w:rPr>
          <w:spacing w:val="26"/>
        </w:rPr>
        <w:t> </w:t>
      </w:r>
      <w:r>
        <w:rPr/>
        <w:t>u</w:t>
      </w:r>
      <w:r>
        <w:rPr>
          <w:spacing w:val="26"/>
        </w:rPr>
        <w:t> </w:t>
      </w:r>
      <w:r>
        <w:rPr/>
        <w:t>órgano</w:t>
      </w:r>
      <w:r>
        <w:rPr>
          <w:spacing w:val="26"/>
        </w:rPr>
        <w:t> </w:t>
      </w:r>
      <w:r>
        <w:rPr/>
        <w:t>administrativo</w:t>
      </w:r>
      <w:r>
        <w:rPr>
          <w:spacing w:val="26"/>
        </w:rPr>
        <w:t> </w:t>
      </w:r>
      <w:r>
        <w:rPr/>
        <w:t>encargado</w:t>
      </w:r>
      <w:r>
        <w:rPr>
          <w:spacing w:val="26"/>
        </w:rPr>
        <w:t> </w:t>
      </w:r>
      <w:r>
        <w:rPr/>
        <w:t>de</w:t>
      </w:r>
      <w:r>
        <w:rPr>
          <w:spacing w:val="26"/>
        </w:rPr>
        <w:t> </w:t>
      </w:r>
      <w:r>
        <w:rPr/>
        <w:t>su</w:t>
      </w:r>
      <w:r>
        <w:rPr>
          <w:spacing w:val="26"/>
        </w:rPr>
        <w:t> </w:t>
      </w:r>
      <w:r>
        <w:rPr/>
        <w:t>ejecución</w:t>
      </w:r>
      <w:r>
        <w:rPr>
          <w:spacing w:val="26"/>
        </w:rPr>
        <w:t> </w:t>
      </w:r>
      <w:r>
        <w:rPr/>
        <w:t>y</w:t>
      </w:r>
      <w:r>
        <w:rPr>
          <w:spacing w:val="26"/>
        </w:rPr>
        <w:t> </w:t>
      </w:r>
      <w:r>
        <w:rPr/>
        <w:t>se</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right="1103" w:firstLine="0"/>
      </w:pPr>
      <w:r>
        <w:rPr/>
        <w:t>realicen por las entidades a que se refiere el artículo 2 de esta Ley o por el citado consorcio, elevándose en cinco puntos porcentuales los porcentajes y límites de las deducciones establecidas en los artículos 19, 20 y 21 de esta Ley.</w:t>
      </w:r>
    </w:p>
    <w:p>
      <w:pPr>
        <w:pStyle w:val="BodyText"/>
        <w:spacing w:line="249" w:lineRule="auto"/>
        <w:ind w:right="1103"/>
      </w:pPr>
      <w:r>
        <w:rPr/>
        <w:t>Tercero. Las transmisiones sujetas al Impuesto sobre Transmisiones Patrimoniales y Actos Jurídicos Documentados tendrán una bonificación del 95 por 100 de la cuota cuando los bienes y derechos adquiridos se destinen, directa y exclusivamente, por el sujeto pasivo</w:t>
      </w:r>
      <w:r>
        <w:rPr>
          <w:spacing w:val="40"/>
        </w:rPr>
        <w:t> </w:t>
      </w:r>
      <w:r>
        <w:rPr/>
        <w:t>a la realización de inversiones con derecho a deducción a que se refiere el punto primero de este apartado.</w:t>
      </w:r>
    </w:p>
    <w:p>
      <w:pPr>
        <w:pStyle w:val="BodyText"/>
        <w:spacing w:line="249" w:lineRule="auto" w:before="4"/>
        <w:ind w:right="1103"/>
      </w:pPr>
      <w:r>
        <w:rPr/>
        <w:t>Cuarto. Los sujetos pasivos del Impuesto sobre Actividades Económicas tendrán una bonificación del 95 por 100 en las cuotas y recargos correspondientes a las actividades de carácter artístico, cultural, científico o deportivo que hayan de tener lugar durante la celebración</w:t>
      </w:r>
      <w:r>
        <w:rPr>
          <w:spacing w:val="-3"/>
        </w:rPr>
        <w:t> </w:t>
      </w:r>
      <w:r>
        <w:rPr/>
        <w:t>del</w:t>
      </w:r>
      <w:r>
        <w:rPr>
          <w:spacing w:val="-3"/>
        </w:rPr>
        <w:t> </w:t>
      </w:r>
      <w:r>
        <w:rPr/>
        <w:t>respectivo</w:t>
      </w:r>
      <w:r>
        <w:rPr>
          <w:spacing w:val="-3"/>
        </w:rPr>
        <w:t> </w:t>
      </w:r>
      <w:r>
        <w:rPr/>
        <w:t>acontecimiento</w:t>
      </w:r>
      <w:r>
        <w:rPr>
          <w:spacing w:val="-3"/>
        </w:rPr>
        <w:t> </w:t>
      </w:r>
      <w:r>
        <w:rPr/>
        <w:t>y</w:t>
      </w:r>
      <w:r>
        <w:rPr>
          <w:spacing w:val="-3"/>
        </w:rPr>
        <w:t> </w:t>
      </w:r>
      <w:r>
        <w:rPr/>
        <w:t>que</w:t>
      </w:r>
      <w:r>
        <w:rPr>
          <w:spacing w:val="-3"/>
        </w:rPr>
        <w:t> </w:t>
      </w:r>
      <w:r>
        <w:rPr/>
        <w:t>se</w:t>
      </w:r>
      <w:r>
        <w:rPr>
          <w:spacing w:val="-3"/>
        </w:rPr>
        <w:t> </w:t>
      </w:r>
      <w:r>
        <w:rPr/>
        <w:t>enmarquen</w:t>
      </w:r>
      <w:r>
        <w:rPr>
          <w:spacing w:val="-3"/>
        </w:rPr>
        <w:t> </w:t>
      </w:r>
      <w:r>
        <w:rPr/>
        <w:t>en</w:t>
      </w:r>
      <w:r>
        <w:rPr>
          <w:spacing w:val="-3"/>
        </w:rPr>
        <w:t> </w:t>
      </w:r>
      <w:r>
        <w:rPr/>
        <w:t>los</w:t>
      </w:r>
      <w:r>
        <w:rPr>
          <w:spacing w:val="-3"/>
        </w:rPr>
        <w:t> </w:t>
      </w:r>
      <w:r>
        <w:rPr/>
        <w:t>planes</w:t>
      </w:r>
      <w:r>
        <w:rPr>
          <w:spacing w:val="-3"/>
        </w:rPr>
        <w:t> </w:t>
      </w:r>
      <w:r>
        <w:rPr/>
        <w:t>y</w:t>
      </w:r>
      <w:r>
        <w:rPr>
          <w:spacing w:val="-3"/>
        </w:rPr>
        <w:t> </w:t>
      </w:r>
      <w:r>
        <w:rPr/>
        <w:t>programas</w:t>
      </w:r>
      <w:r>
        <w:rPr>
          <w:spacing w:val="-3"/>
        </w:rPr>
        <w:t> </w:t>
      </w:r>
      <w:r>
        <w:rPr/>
        <w:t>de actividades elaborados por el consorcio o por el órgano administrativo correspondiente.</w:t>
      </w:r>
    </w:p>
    <w:p>
      <w:pPr>
        <w:pStyle w:val="BodyText"/>
        <w:spacing w:line="249" w:lineRule="auto" w:before="4"/>
        <w:ind w:right="1104"/>
      </w:pPr>
      <w:r>
        <w:rPr/>
        <w:t>Quinto. Las empresas o entidades que desarrollen los objetivos del respectivo programa tendrán una bonificación del 95 por 100 en todos los impuestos y tasas locales que puedan recaer sobre las operaciones relacionadas exclusivamente con el desarrollo de dicho </w:t>
      </w:r>
      <w:r>
        <w:rPr>
          <w:spacing w:val="-2"/>
        </w:rPr>
        <w:t>programa.</w:t>
      </w:r>
    </w:p>
    <w:p>
      <w:pPr>
        <w:pStyle w:val="BodyText"/>
        <w:spacing w:line="249" w:lineRule="auto" w:before="4"/>
        <w:ind w:right="1103"/>
      </w:pPr>
      <w:r>
        <w:rPr/>
        <w:t>Sexto. A los efectos previstos en los números anteriores no será de aplicación lo dispuesto en el primer párrafo del apartado 2 del artículo 9 de la Ley 39/1988, de 28 de diciembre, reguladora de las Haciendas Locales.</w:t>
      </w:r>
    </w:p>
    <w:p>
      <w:pPr>
        <w:pStyle w:val="ListParagraph"/>
        <w:numPr>
          <w:ilvl w:val="0"/>
          <w:numId w:val="17"/>
        </w:numPr>
        <w:tabs>
          <w:tab w:pos="884" w:val="left" w:leader="none"/>
        </w:tabs>
        <w:spacing w:line="249" w:lineRule="auto" w:before="122" w:after="0"/>
        <w:ind w:left="255" w:right="1103" w:firstLine="340"/>
        <w:jc w:val="both"/>
        <w:rPr>
          <w:sz w:val="20"/>
        </w:rPr>
      </w:pPr>
      <w:r>
        <w:rPr>
          <w:sz w:val="20"/>
        </w:rPr>
        <w:t>La Administración tributaria comprobará la concurrencia de las circunstancias o requisitos</w:t>
      </w:r>
      <w:r>
        <w:rPr>
          <w:spacing w:val="-1"/>
          <w:sz w:val="20"/>
        </w:rPr>
        <w:t> </w:t>
      </w:r>
      <w:r>
        <w:rPr>
          <w:sz w:val="20"/>
        </w:rPr>
        <w:t>necesarios</w:t>
      </w:r>
      <w:r>
        <w:rPr>
          <w:spacing w:val="-1"/>
          <w:sz w:val="20"/>
        </w:rPr>
        <w:t> </w:t>
      </w:r>
      <w:r>
        <w:rPr>
          <w:sz w:val="20"/>
        </w:rPr>
        <w:t>para</w:t>
      </w:r>
      <w:r>
        <w:rPr>
          <w:spacing w:val="-1"/>
          <w:sz w:val="20"/>
        </w:rPr>
        <w:t> </w:t>
      </w:r>
      <w:r>
        <w:rPr>
          <w:sz w:val="20"/>
        </w:rPr>
        <w:t>la</w:t>
      </w:r>
      <w:r>
        <w:rPr>
          <w:spacing w:val="-1"/>
          <w:sz w:val="20"/>
        </w:rPr>
        <w:t> </w:t>
      </w:r>
      <w:r>
        <w:rPr>
          <w:sz w:val="20"/>
        </w:rPr>
        <w:t>aplicación</w:t>
      </w:r>
      <w:r>
        <w:rPr>
          <w:spacing w:val="-1"/>
          <w:sz w:val="20"/>
        </w:rPr>
        <w:t> </w:t>
      </w:r>
      <w:r>
        <w:rPr>
          <w:sz w:val="20"/>
        </w:rPr>
        <w:t>de</w:t>
      </w:r>
      <w:r>
        <w:rPr>
          <w:spacing w:val="-1"/>
          <w:sz w:val="20"/>
        </w:rPr>
        <w:t> </w:t>
      </w:r>
      <w:r>
        <w:rPr>
          <w:sz w:val="20"/>
        </w:rPr>
        <w:t>los</w:t>
      </w:r>
      <w:r>
        <w:rPr>
          <w:spacing w:val="-1"/>
          <w:sz w:val="20"/>
        </w:rPr>
        <w:t> </w:t>
      </w:r>
      <w:r>
        <w:rPr>
          <w:sz w:val="20"/>
        </w:rPr>
        <w:t>beneficios</w:t>
      </w:r>
      <w:r>
        <w:rPr>
          <w:spacing w:val="-1"/>
          <w:sz w:val="20"/>
        </w:rPr>
        <w:t> </w:t>
      </w:r>
      <w:r>
        <w:rPr>
          <w:sz w:val="20"/>
        </w:rPr>
        <w:t>fiscales,</w:t>
      </w:r>
      <w:r>
        <w:rPr>
          <w:spacing w:val="-1"/>
          <w:sz w:val="20"/>
        </w:rPr>
        <w:t> </w:t>
      </w:r>
      <w:r>
        <w:rPr>
          <w:sz w:val="20"/>
        </w:rPr>
        <w:t>practicando,</w:t>
      </w:r>
      <w:r>
        <w:rPr>
          <w:spacing w:val="-1"/>
          <w:sz w:val="20"/>
        </w:rPr>
        <w:t> </w:t>
      </w:r>
      <w:r>
        <w:rPr>
          <w:sz w:val="20"/>
        </w:rPr>
        <w:t>en</w:t>
      </w:r>
      <w:r>
        <w:rPr>
          <w:spacing w:val="-1"/>
          <w:sz w:val="20"/>
        </w:rPr>
        <w:t> </w:t>
      </w:r>
      <w:r>
        <w:rPr>
          <w:sz w:val="20"/>
        </w:rPr>
        <w:t>su</w:t>
      </w:r>
      <w:r>
        <w:rPr>
          <w:spacing w:val="-1"/>
          <w:sz w:val="20"/>
        </w:rPr>
        <w:t> </w:t>
      </w:r>
      <w:r>
        <w:rPr>
          <w:sz w:val="20"/>
        </w:rPr>
        <w:t>caso,</w:t>
      </w:r>
      <w:r>
        <w:rPr>
          <w:spacing w:val="-1"/>
          <w:sz w:val="20"/>
        </w:rPr>
        <w:t> </w:t>
      </w:r>
      <w:r>
        <w:rPr>
          <w:sz w:val="20"/>
        </w:rPr>
        <w:t>la regularización que resulte procedente.</w:t>
      </w:r>
    </w:p>
    <w:p>
      <w:pPr>
        <w:pStyle w:val="ListParagraph"/>
        <w:numPr>
          <w:ilvl w:val="0"/>
          <w:numId w:val="17"/>
        </w:numPr>
        <w:tabs>
          <w:tab w:pos="888" w:val="left" w:leader="none"/>
        </w:tabs>
        <w:spacing w:line="249" w:lineRule="auto" w:before="3" w:after="0"/>
        <w:ind w:left="255" w:right="1104" w:firstLine="340"/>
        <w:jc w:val="both"/>
        <w:rPr>
          <w:sz w:val="20"/>
        </w:rPr>
      </w:pPr>
      <w:r>
        <w:rPr>
          <w:sz w:val="20"/>
        </w:rPr>
        <w:t>Reglamentariamente, se establecerá el procedimiento para la aplicación de los beneficios fiscales previstos en los programas de apoyo a acontecimientos de excepcional interés público.</w:t>
      </w:r>
    </w:p>
    <w:p>
      <w:pPr>
        <w:spacing w:line="249" w:lineRule="auto" w:before="229"/>
        <w:ind w:left="255" w:right="1103" w:hanging="1"/>
        <w:jc w:val="both"/>
        <w:rPr>
          <w:i/>
          <w:sz w:val="20"/>
        </w:rPr>
      </w:pPr>
      <w:bookmarkStart w:name="[Disposiciones adicionales]" w:id="76"/>
      <w:bookmarkEnd w:id="76"/>
      <w:r>
        <w:rPr/>
      </w:r>
      <w:bookmarkStart w:name="Disposición adicional primera. Modificac" w:id="77"/>
      <w:bookmarkEnd w:id="77"/>
      <w:r>
        <w:rPr/>
      </w:r>
      <w:bookmarkStart w:name="_bookmark37" w:id="78"/>
      <w:bookmarkEnd w:id="78"/>
      <w:r>
        <w:rPr/>
      </w:r>
      <w:r>
        <w:rPr>
          <w:b/>
          <w:sz w:val="20"/>
        </w:rPr>
        <w:t>Disposición adicional primera.</w:t>
      </w:r>
      <w:r>
        <w:rPr>
          <w:b/>
          <w:spacing w:val="40"/>
          <w:sz w:val="20"/>
        </w:rPr>
        <w:t> </w:t>
      </w:r>
      <w:r>
        <w:rPr>
          <w:i/>
          <w:sz w:val="20"/>
        </w:rPr>
        <w:t>Modificación de la Ley 40/1998, de 9 de diciembre, del Impuesto sobre la Renta de las Personas Físicas y otras Normas Tributarias.</w:t>
      </w:r>
    </w:p>
    <w:p>
      <w:pPr>
        <w:pStyle w:val="ListParagraph"/>
        <w:numPr>
          <w:ilvl w:val="0"/>
          <w:numId w:val="18"/>
        </w:numPr>
        <w:tabs>
          <w:tab w:pos="825" w:val="left" w:leader="none"/>
        </w:tabs>
        <w:spacing w:line="249" w:lineRule="auto" w:before="115" w:after="0"/>
        <w:ind w:left="255" w:right="1104" w:firstLine="340"/>
        <w:jc w:val="both"/>
        <w:rPr>
          <w:sz w:val="20"/>
        </w:rPr>
      </w:pPr>
      <w:r>
        <w:rPr>
          <w:sz w:val="20"/>
        </w:rPr>
        <w:t>Se añade un nuevo párrafo j) al apartado 2 del artículo 14 de la Ley 40/1998, de 9 de diciembre, del Impuesto sobre la Renta de las Personas Físicas y otras Normas Tributarias, que queda redactado en los siguientes términos:</w:t>
      </w:r>
    </w:p>
    <w:p>
      <w:pPr>
        <w:pStyle w:val="BodyText"/>
        <w:spacing w:line="249" w:lineRule="auto" w:before="172"/>
        <w:ind w:left="935" w:right="1103"/>
      </w:pPr>
      <w:r>
        <w:rPr/>
        <w:t>«j) Las ayudas públicas otorgadas por las Administraciones competentes a </w:t>
      </w:r>
      <w:r>
        <w:rPr/>
        <w:t>los titulares de bienes integrantes del Patrimonio Histórico Español inscritos en el Registro general de bienes de interés cultural a que se refiere la Ley 16/1985, de 25 de junio, del Patrimonio Histórico Español, y destinadas exclusivamente a su conservación o rehabilitación, podrán imputarse por cuartas partes en el período impositivo en que se obtengan y en los tres siguientes, siempre que se cumplan las exigencias establecidas en dicha Ley, en particular respecto de los deberes de visita y exposición pública de dichos bienes.»</w:t>
      </w:r>
    </w:p>
    <w:p>
      <w:pPr>
        <w:pStyle w:val="ListParagraph"/>
        <w:numPr>
          <w:ilvl w:val="0"/>
          <w:numId w:val="18"/>
        </w:numPr>
        <w:tabs>
          <w:tab w:pos="841" w:val="left" w:leader="none"/>
        </w:tabs>
        <w:spacing w:line="249" w:lineRule="auto" w:before="127" w:after="0"/>
        <w:ind w:left="255" w:right="1102" w:firstLine="340"/>
        <w:jc w:val="both"/>
        <w:rPr>
          <w:sz w:val="20"/>
        </w:rPr>
      </w:pPr>
      <w:r>
        <w:rPr>
          <w:sz w:val="20"/>
        </w:rPr>
        <w:t>Se modifica el apartado 3 del artículo 55 de la Ley 40/1998, de 9 de diciembre, del Impuesto sobre la Renta de las Personas Físicas y otras Normas Tributarias, que queda redactado en los siguientes términos:</w:t>
      </w:r>
    </w:p>
    <w:p>
      <w:pPr>
        <w:pStyle w:val="BodyText"/>
        <w:spacing w:before="172"/>
        <w:ind w:left="1275" w:firstLine="0"/>
        <w:jc w:val="left"/>
      </w:pPr>
      <w:r>
        <w:rPr/>
        <w:t>«3. Deducciones por </w:t>
      </w:r>
      <w:r>
        <w:rPr>
          <w:spacing w:val="-2"/>
        </w:rPr>
        <w:t>donativos.</w:t>
      </w:r>
    </w:p>
    <w:p>
      <w:pPr>
        <w:pStyle w:val="BodyText"/>
        <w:spacing w:before="10"/>
        <w:ind w:left="1275" w:firstLine="0"/>
        <w:jc w:val="left"/>
      </w:pPr>
      <w:r>
        <w:rPr/>
        <w:t>Los</w:t>
      </w:r>
      <w:r>
        <w:rPr>
          <w:spacing w:val="-6"/>
        </w:rPr>
        <w:t> </w:t>
      </w:r>
      <w:r>
        <w:rPr/>
        <w:t>contribuyentes</w:t>
      </w:r>
      <w:r>
        <w:rPr>
          <w:spacing w:val="-3"/>
        </w:rPr>
        <w:t> </w:t>
      </w:r>
      <w:r>
        <w:rPr/>
        <w:t>podrán</w:t>
      </w:r>
      <w:r>
        <w:rPr>
          <w:spacing w:val="-3"/>
        </w:rPr>
        <w:t> </w:t>
      </w:r>
      <w:r>
        <w:rPr/>
        <w:t>aplicar,</w:t>
      </w:r>
      <w:r>
        <w:rPr>
          <w:spacing w:val="-4"/>
        </w:rPr>
        <w:t> </w:t>
      </w:r>
      <w:r>
        <w:rPr/>
        <w:t>en</w:t>
      </w:r>
      <w:r>
        <w:rPr>
          <w:spacing w:val="-3"/>
        </w:rPr>
        <w:t> </w:t>
      </w:r>
      <w:r>
        <w:rPr/>
        <w:t>este</w:t>
      </w:r>
      <w:r>
        <w:rPr>
          <w:spacing w:val="-3"/>
        </w:rPr>
        <w:t> </w:t>
      </w:r>
      <w:r>
        <w:rPr>
          <w:spacing w:val="-2"/>
        </w:rPr>
        <w:t>concepto:</w:t>
      </w:r>
    </w:p>
    <w:p>
      <w:pPr>
        <w:pStyle w:val="ListParagraph"/>
        <w:numPr>
          <w:ilvl w:val="1"/>
          <w:numId w:val="18"/>
        </w:numPr>
        <w:tabs>
          <w:tab w:pos="1515" w:val="left" w:leader="none"/>
        </w:tabs>
        <w:spacing w:line="249" w:lineRule="auto" w:before="181" w:after="0"/>
        <w:ind w:left="935" w:right="1104" w:firstLine="340"/>
        <w:jc w:val="both"/>
        <w:rPr>
          <w:sz w:val="20"/>
        </w:rPr>
      </w:pPr>
      <w:r>
        <w:rPr>
          <w:sz w:val="20"/>
        </w:rPr>
        <w:t>Las deducciones previstas en la Ley 49/2002, de 23 de diciembre, de régimen fiscal de las entidades sin fines lucrativos y de los incentivos fiscales al mecenazgo.</w:t>
      </w:r>
    </w:p>
    <w:p>
      <w:pPr>
        <w:pStyle w:val="ListParagraph"/>
        <w:numPr>
          <w:ilvl w:val="1"/>
          <w:numId w:val="18"/>
        </w:numPr>
        <w:tabs>
          <w:tab w:pos="1570" w:val="left" w:leader="none"/>
        </w:tabs>
        <w:spacing w:line="249" w:lineRule="auto" w:before="1" w:after="0"/>
        <w:ind w:left="935" w:right="1103" w:firstLine="340"/>
        <w:jc w:val="both"/>
        <w:rPr>
          <w:sz w:val="20"/>
        </w:rPr>
      </w:pPr>
      <w:r>
        <w:rPr>
          <w:sz w:val="20"/>
        </w:rPr>
        <w:t>El 10 por 100 de las cantidades donadas a las fundaciones legalmente reconocidas que rindan cuentas al órgano del protectorado correspondiente, así</w:t>
      </w:r>
      <w:r>
        <w:rPr>
          <w:spacing w:val="40"/>
          <w:sz w:val="20"/>
        </w:rPr>
        <w:t> </w:t>
      </w:r>
      <w:r>
        <w:rPr>
          <w:sz w:val="20"/>
        </w:rPr>
        <w:t>como a las asociaciones declaradas de utilidad pública, no comprendidas en el párrafo anterior.»</w:t>
      </w:r>
    </w:p>
    <w:p>
      <w:pPr>
        <w:pStyle w:val="ListParagraph"/>
        <w:numPr>
          <w:ilvl w:val="0"/>
          <w:numId w:val="18"/>
        </w:numPr>
        <w:tabs>
          <w:tab w:pos="841" w:val="left" w:leader="none"/>
        </w:tabs>
        <w:spacing w:line="249" w:lineRule="auto" w:before="123" w:after="0"/>
        <w:ind w:left="255" w:right="1102" w:firstLine="340"/>
        <w:jc w:val="both"/>
        <w:rPr>
          <w:sz w:val="20"/>
        </w:rPr>
      </w:pPr>
      <w:r>
        <w:rPr>
          <w:sz w:val="20"/>
        </w:rPr>
        <w:t>Se modifica el apartado 5 del artículo 55 de la Ley 40/1998, de 9 de diciembre, del Impuesto sobre la Renta de las Personas Físicas y otras Normas Tributarias, que queda redactado en los siguientes términos:</w:t>
      </w:r>
    </w:p>
    <w:p>
      <w:pPr>
        <w:pStyle w:val="ListParagraph"/>
        <w:spacing w:after="0" w:line="249" w:lineRule="auto"/>
        <w:jc w:val="both"/>
        <w:rPr>
          <w:sz w:val="20"/>
        </w:rPr>
        <w:sectPr>
          <w:pgSz w:w="11910" w:h="16840"/>
          <w:pgMar w:header="349" w:footer="530" w:top="1200" w:bottom="760" w:left="1559" w:right="708"/>
        </w:sectPr>
      </w:pPr>
    </w:p>
    <w:p>
      <w:pPr>
        <w:pStyle w:val="BodyText"/>
        <w:spacing w:before="0"/>
        <w:ind w:left="0" w:firstLine="0"/>
        <w:jc w:val="left"/>
      </w:pPr>
    </w:p>
    <w:p>
      <w:pPr>
        <w:pStyle w:val="BodyText"/>
        <w:spacing w:before="197"/>
        <w:ind w:left="0" w:firstLine="0"/>
        <w:jc w:val="left"/>
      </w:pPr>
    </w:p>
    <w:p>
      <w:pPr>
        <w:pStyle w:val="BodyText"/>
        <w:spacing w:line="249" w:lineRule="auto" w:before="0"/>
        <w:ind w:left="935" w:right="1104"/>
      </w:pPr>
      <w:r>
        <w:rPr/>
        <w:t>«5. Deducción por actuaciones para la protección y difusión del Patrimonio Histórico Español y de las ciudades, conjuntos y bienes declarados Patrimonio </w:t>
      </w:r>
      <w:r>
        <w:rPr>
          <w:spacing w:val="-2"/>
        </w:rPr>
        <w:t>Mundial.</w:t>
      </w:r>
    </w:p>
    <w:p>
      <w:pPr>
        <w:pStyle w:val="BodyText"/>
        <w:spacing w:line="249" w:lineRule="auto"/>
        <w:ind w:left="935" w:right="1104"/>
      </w:pPr>
      <w:r>
        <w:rPr/>
        <w:t>Los contribuyentes tendrán derecho a una deducción en la cuota del 15 por 100 del importe de las inversiones o gastos que realicen para:</w:t>
      </w:r>
    </w:p>
    <w:p>
      <w:pPr>
        <w:pStyle w:val="ListParagraph"/>
        <w:numPr>
          <w:ilvl w:val="1"/>
          <w:numId w:val="18"/>
        </w:numPr>
        <w:tabs>
          <w:tab w:pos="1518" w:val="left" w:leader="none"/>
        </w:tabs>
        <w:spacing w:line="249" w:lineRule="auto" w:before="172" w:after="0"/>
        <w:ind w:left="935" w:right="1104" w:firstLine="340"/>
        <w:jc w:val="both"/>
        <w:rPr>
          <w:sz w:val="20"/>
        </w:rPr>
      </w:pPr>
      <w:r>
        <w:rPr>
          <w:sz w:val="20"/>
        </w:rPr>
        <w:t>La adquisición de bienes del Patrimonio Histórico Español, realizada fuera del territorio español para su introducción dentro de dicho territorio, siempre que los bienes permanezcan en él y dentro del patrimonio del titular durante al menos tres </w:t>
      </w:r>
      <w:r>
        <w:rPr>
          <w:spacing w:val="-2"/>
          <w:sz w:val="20"/>
        </w:rPr>
        <w:t>años.</w:t>
      </w:r>
    </w:p>
    <w:p>
      <w:pPr>
        <w:pStyle w:val="BodyText"/>
        <w:spacing w:line="249" w:lineRule="auto" w:before="3"/>
        <w:ind w:left="935" w:right="1104"/>
      </w:pPr>
      <w:r>
        <w:rPr/>
        <w:t>La base de esta deducción será la valoración efectuada por la Junta de Calificación, Valoración y Exportación.</w:t>
      </w:r>
    </w:p>
    <w:p>
      <w:pPr>
        <w:pStyle w:val="ListParagraph"/>
        <w:numPr>
          <w:ilvl w:val="1"/>
          <w:numId w:val="18"/>
        </w:numPr>
        <w:tabs>
          <w:tab w:pos="1518" w:val="left" w:leader="none"/>
        </w:tabs>
        <w:spacing w:line="249" w:lineRule="auto" w:before="2" w:after="0"/>
        <w:ind w:left="935" w:right="1103" w:firstLine="340"/>
        <w:jc w:val="both"/>
        <w:rPr>
          <w:sz w:val="20"/>
        </w:rPr>
      </w:pPr>
      <w:r>
        <w:rPr>
          <w:sz w:val="20"/>
        </w:rPr>
        <w:t>La conservación, reparación, restauración, difusión y exposición de los bienes de su propiedad que estén declarados de interés cultural conforme a la normativa del Patrimonio</w:t>
      </w:r>
      <w:r>
        <w:rPr>
          <w:spacing w:val="-2"/>
          <w:sz w:val="20"/>
        </w:rPr>
        <w:t> </w:t>
      </w:r>
      <w:r>
        <w:rPr>
          <w:sz w:val="20"/>
        </w:rPr>
        <w:t>Histórico</w:t>
      </w:r>
      <w:r>
        <w:rPr>
          <w:spacing w:val="-2"/>
          <w:sz w:val="20"/>
        </w:rPr>
        <w:t> </w:t>
      </w:r>
      <w:r>
        <w:rPr>
          <w:sz w:val="20"/>
        </w:rPr>
        <w:t>del</w:t>
      </w:r>
      <w:r>
        <w:rPr>
          <w:spacing w:val="-2"/>
          <w:sz w:val="20"/>
        </w:rPr>
        <w:t> </w:t>
      </w:r>
      <w:r>
        <w:rPr>
          <w:sz w:val="20"/>
        </w:rPr>
        <w:t>Estado</w:t>
      </w:r>
      <w:r>
        <w:rPr>
          <w:spacing w:val="-2"/>
          <w:sz w:val="20"/>
        </w:rPr>
        <w:t> </w:t>
      </w:r>
      <w:r>
        <w:rPr>
          <w:sz w:val="20"/>
        </w:rPr>
        <w:t>y</w:t>
      </w:r>
      <w:r>
        <w:rPr>
          <w:spacing w:val="-2"/>
          <w:sz w:val="20"/>
        </w:rPr>
        <w:t> </w:t>
      </w:r>
      <w:r>
        <w:rPr>
          <w:sz w:val="20"/>
        </w:rPr>
        <w:t>de</w:t>
      </w:r>
      <w:r>
        <w:rPr>
          <w:spacing w:val="-2"/>
          <w:sz w:val="20"/>
        </w:rPr>
        <w:t> </w:t>
      </w:r>
      <w:r>
        <w:rPr>
          <w:sz w:val="20"/>
        </w:rPr>
        <w:t>las</w:t>
      </w:r>
      <w:r>
        <w:rPr>
          <w:spacing w:val="-2"/>
          <w:sz w:val="20"/>
        </w:rPr>
        <w:t> </w:t>
      </w:r>
      <w:r>
        <w:rPr>
          <w:sz w:val="20"/>
        </w:rPr>
        <w:t>Comunidades</w:t>
      </w:r>
      <w:r>
        <w:rPr>
          <w:spacing w:val="-2"/>
          <w:sz w:val="20"/>
        </w:rPr>
        <w:t> </w:t>
      </w:r>
      <w:r>
        <w:rPr>
          <w:sz w:val="20"/>
        </w:rPr>
        <w:t>Autónomas,</w:t>
      </w:r>
      <w:r>
        <w:rPr>
          <w:spacing w:val="-2"/>
          <w:sz w:val="20"/>
        </w:rPr>
        <w:t> </w:t>
      </w:r>
      <w:r>
        <w:rPr>
          <w:sz w:val="20"/>
        </w:rPr>
        <w:t>siempre</w:t>
      </w:r>
      <w:r>
        <w:rPr>
          <w:spacing w:val="-2"/>
          <w:sz w:val="20"/>
        </w:rPr>
        <w:t> </w:t>
      </w:r>
      <w:r>
        <w:rPr>
          <w:sz w:val="20"/>
        </w:rPr>
        <w:t>y</w:t>
      </w:r>
      <w:r>
        <w:rPr>
          <w:spacing w:val="-2"/>
          <w:sz w:val="20"/>
        </w:rPr>
        <w:t> </w:t>
      </w:r>
      <w:r>
        <w:rPr>
          <w:sz w:val="20"/>
        </w:rPr>
        <w:t>cuando se cumplan las exigencias establecidas en dicha normativa, en particular respecto de los deberes de visita y exposición pública de dichos bienes.</w:t>
      </w:r>
    </w:p>
    <w:p>
      <w:pPr>
        <w:pStyle w:val="ListParagraph"/>
        <w:numPr>
          <w:ilvl w:val="1"/>
          <w:numId w:val="18"/>
        </w:numPr>
        <w:tabs>
          <w:tab w:pos="1516" w:val="left" w:leader="none"/>
        </w:tabs>
        <w:spacing w:line="249" w:lineRule="auto" w:before="4" w:after="0"/>
        <w:ind w:left="935" w:right="1103" w:firstLine="340"/>
        <w:jc w:val="both"/>
        <w:rPr>
          <w:sz w:val="20"/>
        </w:rPr>
      </w:pPr>
      <w:r>
        <w:rPr>
          <w:sz w:val="20"/>
        </w:rPr>
        <w:t>La rehabilitación de edificios, el mantenimiento y reparación de sus tejados y fachadas, así como la mejora de infraestructuras de su propiedad situados en el entorno que sea objeto de protección de las ciudades españolas o de los conjuntos arquitectónicos, arqueológicos, naturales o paisajísticos y de los bienes </w:t>
      </w:r>
      <w:r>
        <w:rPr>
          <w:sz w:val="20"/>
        </w:rPr>
        <w:t>declarados Patrimonio Mundial por la Unesco situados en España.»</w:t>
      </w:r>
    </w:p>
    <w:p>
      <w:pPr>
        <w:pStyle w:val="BodyText"/>
        <w:spacing w:before="1"/>
        <w:ind w:left="0" w:firstLine="0"/>
        <w:jc w:val="left"/>
      </w:pPr>
    </w:p>
    <w:p>
      <w:pPr>
        <w:spacing w:line="249" w:lineRule="auto" w:before="0"/>
        <w:ind w:left="255" w:right="1185" w:hanging="1"/>
        <w:jc w:val="left"/>
        <w:rPr>
          <w:i/>
          <w:sz w:val="20"/>
        </w:rPr>
      </w:pPr>
      <w:bookmarkStart w:name="Disposición adicional segunda. Modificac" w:id="79"/>
      <w:bookmarkEnd w:id="79"/>
      <w:r>
        <w:rPr/>
      </w:r>
      <w:bookmarkStart w:name="_bookmark38" w:id="80"/>
      <w:bookmarkEnd w:id="80"/>
      <w:r>
        <w:rPr/>
      </w:r>
      <w:r>
        <w:rPr>
          <w:b/>
          <w:sz w:val="20"/>
        </w:rPr>
        <w:t>Disposición adicional segunda.</w:t>
      </w:r>
      <w:r>
        <w:rPr>
          <w:b/>
          <w:spacing w:val="80"/>
          <w:sz w:val="20"/>
        </w:rPr>
        <w:t> </w:t>
      </w:r>
      <w:r>
        <w:rPr>
          <w:i/>
          <w:sz w:val="20"/>
        </w:rPr>
        <w:t>Modificación de la Ley 43/1995, de 27 de diciembre, del Impuesto sobre Sociedades.</w:t>
      </w:r>
    </w:p>
    <w:p>
      <w:pPr>
        <w:pStyle w:val="ListParagraph"/>
        <w:numPr>
          <w:ilvl w:val="0"/>
          <w:numId w:val="19"/>
        </w:numPr>
        <w:tabs>
          <w:tab w:pos="841" w:val="left" w:leader="none"/>
        </w:tabs>
        <w:spacing w:line="249" w:lineRule="auto" w:before="115" w:after="0"/>
        <w:ind w:left="255" w:right="1102" w:firstLine="340"/>
        <w:jc w:val="left"/>
        <w:rPr>
          <w:sz w:val="20"/>
        </w:rPr>
      </w:pPr>
      <w:r>
        <w:rPr>
          <w:sz w:val="20"/>
        </w:rPr>
        <w:t>Se</w:t>
      </w:r>
      <w:r>
        <w:rPr>
          <w:spacing w:val="22"/>
          <w:sz w:val="20"/>
        </w:rPr>
        <w:t> </w:t>
      </w:r>
      <w:r>
        <w:rPr>
          <w:sz w:val="20"/>
        </w:rPr>
        <w:t>modifica</w:t>
      </w:r>
      <w:r>
        <w:rPr>
          <w:spacing w:val="22"/>
          <w:sz w:val="20"/>
        </w:rPr>
        <w:t> </w:t>
      </w:r>
      <w:r>
        <w:rPr>
          <w:sz w:val="20"/>
        </w:rPr>
        <w:t>el</w:t>
      </w:r>
      <w:r>
        <w:rPr>
          <w:spacing w:val="22"/>
          <w:sz w:val="20"/>
        </w:rPr>
        <w:t> </w:t>
      </w:r>
      <w:r>
        <w:rPr>
          <w:sz w:val="20"/>
        </w:rPr>
        <w:t>apartado</w:t>
      </w:r>
      <w:r>
        <w:rPr>
          <w:spacing w:val="22"/>
          <w:sz w:val="20"/>
        </w:rPr>
        <w:t> </w:t>
      </w:r>
      <w:r>
        <w:rPr>
          <w:sz w:val="20"/>
        </w:rPr>
        <w:t>2</w:t>
      </w:r>
      <w:r>
        <w:rPr>
          <w:spacing w:val="22"/>
          <w:sz w:val="20"/>
        </w:rPr>
        <w:t> </w:t>
      </w:r>
      <w:r>
        <w:rPr>
          <w:sz w:val="20"/>
        </w:rPr>
        <w:t>del</w:t>
      </w:r>
      <w:r>
        <w:rPr>
          <w:spacing w:val="22"/>
          <w:sz w:val="20"/>
        </w:rPr>
        <w:t> </w:t>
      </w:r>
      <w:r>
        <w:rPr>
          <w:sz w:val="20"/>
        </w:rPr>
        <w:t>artículo</w:t>
      </w:r>
      <w:r>
        <w:rPr>
          <w:spacing w:val="22"/>
          <w:sz w:val="20"/>
        </w:rPr>
        <w:t> </w:t>
      </w:r>
      <w:r>
        <w:rPr>
          <w:sz w:val="20"/>
        </w:rPr>
        <w:t>9</w:t>
      </w:r>
      <w:r>
        <w:rPr>
          <w:spacing w:val="22"/>
          <w:sz w:val="20"/>
        </w:rPr>
        <w:t> </w:t>
      </w:r>
      <w:r>
        <w:rPr>
          <w:sz w:val="20"/>
        </w:rPr>
        <w:t>de</w:t>
      </w:r>
      <w:r>
        <w:rPr>
          <w:spacing w:val="22"/>
          <w:sz w:val="20"/>
        </w:rPr>
        <w:t> </w:t>
      </w:r>
      <w:r>
        <w:rPr>
          <w:sz w:val="20"/>
        </w:rPr>
        <w:t>la</w:t>
      </w:r>
      <w:r>
        <w:rPr>
          <w:spacing w:val="22"/>
          <w:sz w:val="20"/>
        </w:rPr>
        <w:t> </w:t>
      </w:r>
      <w:r>
        <w:rPr>
          <w:sz w:val="20"/>
        </w:rPr>
        <w:t>Ley</w:t>
      </w:r>
      <w:r>
        <w:rPr>
          <w:spacing w:val="22"/>
          <w:sz w:val="20"/>
        </w:rPr>
        <w:t> </w:t>
      </w:r>
      <w:r>
        <w:rPr>
          <w:sz w:val="20"/>
        </w:rPr>
        <w:t>43/1995,</w:t>
      </w:r>
      <w:r>
        <w:rPr>
          <w:spacing w:val="22"/>
          <w:sz w:val="20"/>
        </w:rPr>
        <w:t> </w:t>
      </w:r>
      <w:r>
        <w:rPr>
          <w:sz w:val="20"/>
        </w:rPr>
        <w:t>de</w:t>
      </w:r>
      <w:r>
        <w:rPr>
          <w:spacing w:val="22"/>
          <w:sz w:val="20"/>
        </w:rPr>
        <w:t> </w:t>
      </w:r>
      <w:r>
        <w:rPr>
          <w:sz w:val="20"/>
        </w:rPr>
        <w:t>27</w:t>
      </w:r>
      <w:r>
        <w:rPr>
          <w:spacing w:val="22"/>
          <w:sz w:val="20"/>
        </w:rPr>
        <w:t> </w:t>
      </w:r>
      <w:r>
        <w:rPr>
          <w:sz w:val="20"/>
        </w:rPr>
        <w:t>de</w:t>
      </w:r>
      <w:r>
        <w:rPr>
          <w:spacing w:val="22"/>
          <w:sz w:val="20"/>
        </w:rPr>
        <w:t> </w:t>
      </w:r>
      <w:r>
        <w:rPr>
          <w:sz w:val="20"/>
        </w:rPr>
        <w:t>diciembre,</w:t>
      </w:r>
      <w:r>
        <w:rPr>
          <w:spacing w:val="22"/>
          <w:sz w:val="20"/>
        </w:rPr>
        <w:t> </w:t>
      </w:r>
      <w:r>
        <w:rPr>
          <w:sz w:val="20"/>
        </w:rPr>
        <w:t>del Impuesto sobre Sociedades, que quedará redactado en los siguientes términos:</w:t>
      </w:r>
    </w:p>
    <w:p>
      <w:pPr>
        <w:pStyle w:val="BodyText"/>
        <w:spacing w:line="249" w:lineRule="auto" w:before="172"/>
        <w:ind w:left="935" w:right="1103"/>
      </w:pPr>
      <w:r>
        <w:rPr/>
        <w:t>«2. Estarán parcialmente exentas del impuesto, en los términos previstos en el Título</w:t>
      </w:r>
      <w:r>
        <w:rPr>
          <w:spacing w:val="-1"/>
        </w:rPr>
        <w:t> </w:t>
      </w:r>
      <w:r>
        <w:rPr/>
        <w:t>II</w:t>
      </w:r>
      <w:r>
        <w:rPr>
          <w:spacing w:val="-1"/>
        </w:rPr>
        <w:t> </w:t>
      </w:r>
      <w:r>
        <w:rPr/>
        <w:t>de</w:t>
      </w:r>
      <w:r>
        <w:rPr>
          <w:spacing w:val="-1"/>
        </w:rPr>
        <w:t> </w:t>
      </w:r>
      <w:r>
        <w:rPr/>
        <w:t>la</w:t>
      </w:r>
      <w:r>
        <w:rPr>
          <w:spacing w:val="-1"/>
        </w:rPr>
        <w:t> </w:t>
      </w:r>
      <w:r>
        <w:rPr/>
        <w:t>Ley</w:t>
      </w:r>
      <w:r>
        <w:rPr>
          <w:spacing w:val="-1"/>
        </w:rPr>
        <w:t> </w:t>
      </w:r>
      <w:r>
        <w:rPr/>
        <w:t>49/2002,</w:t>
      </w:r>
      <w:r>
        <w:rPr>
          <w:spacing w:val="-1"/>
        </w:rPr>
        <w:t> </w:t>
      </w:r>
      <w:r>
        <w:rPr/>
        <w:t>de</w:t>
      </w:r>
      <w:r>
        <w:rPr>
          <w:spacing w:val="-1"/>
        </w:rPr>
        <w:t> </w:t>
      </w:r>
      <w:r>
        <w:rPr/>
        <w:t>23</w:t>
      </w:r>
      <w:r>
        <w:rPr>
          <w:spacing w:val="-1"/>
        </w:rPr>
        <w:t> </w:t>
      </w:r>
      <w:r>
        <w:rPr/>
        <w:t>de</w:t>
      </w:r>
      <w:r>
        <w:rPr>
          <w:spacing w:val="-1"/>
        </w:rPr>
        <w:t> </w:t>
      </w:r>
      <w:r>
        <w:rPr/>
        <w:t>diciembre,</w:t>
      </w:r>
      <w:r>
        <w:rPr>
          <w:spacing w:val="-1"/>
        </w:rPr>
        <w:t> </w:t>
      </w:r>
      <w:r>
        <w:rPr/>
        <w:t>de</w:t>
      </w:r>
      <w:r>
        <w:rPr>
          <w:spacing w:val="-1"/>
        </w:rPr>
        <w:t> </w:t>
      </w:r>
      <w:r>
        <w:rPr/>
        <w:t>régimen</w:t>
      </w:r>
      <w:r>
        <w:rPr>
          <w:spacing w:val="-1"/>
        </w:rPr>
        <w:t> </w:t>
      </w:r>
      <w:r>
        <w:rPr/>
        <w:t>fiscal</w:t>
      </w:r>
      <w:r>
        <w:rPr>
          <w:spacing w:val="-1"/>
        </w:rPr>
        <w:t> </w:t>
      </w:r>
      <w:r>
        <w:rPr/>
        <w:t>de</w:t>
      </w:r>
      <w:r>
        <w:rPr>
          <w:spacing w:val="-1"/>
        </w:rPr>
        <w:t> </w:t>
      </w:r>
      <w:r>
        <w:rPr/>
        <w:t>las</w:t>
      </w:r>
      <w:r>
        <w:rPr>
          <w:spacing w:val="-1"/>
        </w:rPr>
        <w:t> </w:t>
      </w:r>
      <w:r>
        <w:rPr/>
        <w:t>entidades</w:t>
      </w:r>
      <w:r>
        <w:rPr>
          <w:spacing w:val="-1"/>
        </w:rPr>
        <w:t> </w:t>
      </w:r>
      <w:r>
        <w:rPr/>
        <w:t>sin fines lucrativos y de los incentivos fiscales al mecenazgo, las entidades </w:t>
      </w:r>
      <w:r>
        <w:rPr/>
        <w:t>e instituciones sin ánimo de lucro a las que sea de aplicación dicho Título.»</w:t>
      </w:r>
    </w:p>
    <w:p>
      <w:pPr>
        <w:pStyle w:val="ListParagraph"/>
        <w:numPr>
          <w:ilvl w:val="0"/>
          <w:numId w:val="19"/>
        </w:numPr>
        <w:tabs>
          <w:tab w:pos="834" w:val="left" w:leader="none"/>
        </w:tabs>
        <w:spacing w:line="249" w:lineRule="auto" w:before="123" w:after="0"/>
        <w:ind w:left="255" w:right="1103" w:firstLine="340"/>
        <w:jc w:val="left"/>
        <w:rPr>
          <w:sz w:val="20"/>
        </w:rPr>
      </w:pPr>
      <w:r>
        <w:rPr>
          <w:sz w:val="20"/>
        </w:rPr>
        <w:t>Se modifica el apartado 2 del artículo 26 de la Ley 43/1995, de 27 de diciembre, del</w:t>
      </w:r>
      <w:r>
        <w:rPr>
          <w:spacing w:val="40"/>
          <w:sz w:val="20"/>
        </w:rPr>
        <w:t> </w:t>
      </w:r>
      <w:r>
        <w:rPr>
          <w:sz w:val="20"/>
        </w:rPr>
        <w:t>Impuesto sobre Sociedades, que quedará redactado en los siguientes términos:</w:t>
      </w:r>
    </w:p>
    <w:p>
      <w:pPr>
        <w:pStyle w:val="BodyText"/>
        <w:spacing w:before="172"/>
        <w:ind w:left="1275" w:firstLine="0"/>
        <w:jc w:val="left"/>
      </w:pPr>
      <w:r>
        <w:rPr/>
        <w:t>«2.</w:t>
      </w:r>
      <w:r>
        <w:rPr>
          <w:spacing w:val="-4"/>
        </w:rPr>
        <w:t> </w:t>
      </w:r>
      <w:r>
        <w:rPr/>
        <w:t>Tributarán</w:t>
      </w:r>
      <w:r>
        <w:rPr>
          <w:spacing w:val="-3"/>
        </w:rPr>
        <w:t> </w:t>
      </w:r>
      <w:r>
        <w:rPr/>
        <w:t>al</w:t>
      </w:r>
      <w:r>
        <w:rPr>
          <w:spacing w:val="-3"/>
        </w:rPr>
        <w:t> </w:t>
      </w:r>
      <w:r>
        <w:rPr/>
        <w:t>tipo</w:t>
      </w:r>
      <w:r>
        <w:rPr>
          <w:spacing w:val="-4"/>
        </w:rPr>
        <w:t> </w:t>
      </w:r>
      <w:r>
        <w:rPr/>
        <w:t>del</w:t>
      </w:r>
      <w:r>
        <w:rPr>
          <w:spacing w:val="-3"/>
        </w:rPr>
        <w:t> </w:t>
      </w:r>
      <w:r>
        <w:rPr/>
        <w:t>25</w:t>
      </w:r>
      <w:r>
        <w:rPr>
          <w:spacing w:val="-3"/>
        </w:rPr>
        <w:t> </w:t>
      </w:r>
      <w:r>
        <w:rPr/>
        <w:t>por</w:t>
      </w:r>
      <w:r>
        <w:rPr>
          <w:spacing w:val="-3"/>
        </w:rPr>
        <w:t> </w:t>
      </w:r>
      <w:r>
        <w:rPr>
          <w:spacing w:val="-4"/>
        </w:rPr>
        <w:t>100:</w:t>
      </w:r>
    </w:p>
    <w:p>
      <w:pPr>
        <w:pStyle w:val="ListParagraph"/>
        <w:numPr>
          <w:ilvl w:val="1"/>
          <w:numId w:val="19"/>
        </w:numPr>
        <w:tabs>
          <w:tab w:pos="1527" w:val="left" w:leader="none"/>
        </w:tabs>
        <w:spacing w:line="249" w:lineRule="auto" w:before="180" w:after="0"/>
        <w:ind w:left="935" w:right="1104" w:firstLine="340"/>
        <w:jc w:val="both"/>
        <w:rPr>
          <w:sz w:val="20"/>
        </w:rPr>
      </w:pPr>
      <w:r>
        <w:rPr>
          <w:sz w:val="20"/>
        </w:rPr>
        <w:t>Las mutuas de seguros generales, las mutualidades de previsión social y las mutuas de accidentes de trabajo y enfermedades profesionales de la Seguridad Social que cumplan los requisitos establecidos por su normativa reguladora.</w:t>
      </w:r>
    </w:p>
    <w:p>
      <w:pPr>
        <w:pStyle w:val="ListParagraph"/>
        <w:numPr>
          <w:ilvl w:val="1"/>
          <w:numId w:val="19"/>
        </w:numPr>
        <w:tabs>
          <w:tab w:pos="1546" w:val="left" w:leader="none"/>
        </w:tabs>
        <w:spacing w:line="249" w:lineRule="auto" w:before="2" w:after="0"/>
        <w:ind w:left="935" w:right="1103" w:firstLine="340"/>
        <w:jc w:val="both"/>
        <w:rPr>
          <w:sz w:val="20"/>
        </w:rPr>
      </w:pPr>
      <w:r>
        <w:rPr>
          <w:sz w:val="20"/>
        </w:rPr>
        <w:t>Las sociedades de garantía recíproca y las sociedades de reafianzamiento reguladas en la Ley 1/1994, de 11 de marzo, sobre el Régimen Jurídico de las Sociedades de Garantía Recíproca, inscritas en el registro especial del Banco de </w:t>
      </w:r>
      <w:r>
        <w:rPr>
          <w:spacing w:val="-2"/>
          <w:sz w:val="20"/>
        </w:rPr>
        <w:t>España.</w:t>
      </w:r>
    </w:p>
    <w:p>
      <w:pPr>
        <w:pStyle w:val="ListParagraph"/>
        <w:numPr>
          <w:ilvl w:val="1"/>
          <w:numId w:val="19"/>
        </w:numPr>
        <w:tabs>
          <w:tab w:pos="1508" w:val="left" w:leader="none"/>
        </w:tabs>
        <w:spacing w:line="249" w:lineRule="auto" w:before="3" w:after="0"/>
        <w:ind w:left="935" w:right="1103" w:firstLine="340"/>
        <w:jc w:val="both"/>
        <w:rPr>
          <w:sz w:val="20"/>
        </w:rPr>
      </w:pPr>
      <w:r>
        <w:rPr>
          <w:sz w:val="20"/>
        </w:rPr>
        <w:t>Las sociedades cooperativas de crédito y cajas rurales, excepto por lo que se refiere a los resultados extracooperativos, que tributarán al tipo general.</w:t>
      </w:r>
    </w:p>
    <w:p>
      <w:pPr>
        <w:pStyle w:val="ListParagraph"/>
        <w:numPr>
          <w:ilvl w:val="1"/>
          <w:numId w:val="19"/>
        </w:numPr>
        <w:tabs>
          <w:tab w:pos="1580" w:val="left" w:leader="none"/>
        </w:tabs>
        <w:spacing w:line="249" w:lineRule="auto" w:before="2" w:after="0"/>
        <w:ind w:left="935" w:right="1102" w:firstLine="340"/>
        <w:jc w:val="both"/>
        <w:rPr>
          <w:sz w:val="20"/>
        </w:rPr>
      </w:pPr>
      <w:r>
        <w:rPr>
          <w:sz w:val="20"/>
        </w:rPr>
        <w:t>Los colegios profesionales, las asociaciones empresariales, las cámaras oficiales, los sindicatos de trabajadores y los partidos políticos.</w:t>
      </w:r>
    </w:p>
    <w:p>
      <w:pPr>
        <w:pStyle w:val="ListParagraph"/>
        <w:numPr>
          <w:ilvl w:val="1"/>
          <w:numId w:val="19"/>
        </w:numPr>
        <w:tabs>
          <w:tab w:pos="1533" w:val="left" w:leader="none"/>
        </w:tabs>
        <w:spacing w:line="249" w:lineRule="auto" w:before="2" w:after="0"/>
        <w:ind w:left="935" w:right="1104" w:firstLine="340"/>
        <w:jc w:val="both"/>
        <w:rPr>
          <w:sz w:val="20"/>
        </w:rPr>
      </w:pPr>
      <w:r>
        <w:rPr>
          <w:sz w:val="20"/>
        </w:rPr>
        <w:t>Las entidades sin fines lucrativos a las que no sea de aplicación el régimen fiscal establecido en la Ley 49/2002, de 23 de diciembre, de régimen fiscal de las entidades sin fines lucrativos y de los incentivos fiscales al mecenazgo.</w:t>
      </w:r>
    </w:p>
    <w:p>
      <w:pPr>
        <w:pStyle w:val="ListParagraph"/>
        <w:numPr>
          <w:ilvl w:val="1"/>
          <w:numId w:val="19"/>
        </w:numPr>
        <w:tabs>
          <w:tab w:pos="1467" w:val="left" w:leader="none"/>
        </w:tabs>
        <w:spacing w:line="249" w:lineRule="auto" w:before="2" w:after="0"/>
        <w:ind w:left="935" w:right="1104" w:firstLine="340"/>
        <w:jc w:val="both"/>
        <w:rPr>
          <w:sz w:val="20"/>
        </w:rPr>
      </w:pPr>
      <w:r>
        <w:rPr>
          <w:sz w:val="20"/>
        </w:rPr>
        <w:t>Los fondos de promoción de empleo constituidos al amparo del artículo 22 de</w:t>
      </w:r>
      <w:r>
        <w:rPr>
          <w:spacing w:val="40"/>
          <w:sz w:val="20"/>
        </w:rPr>
        <w:t> </w:t>
      </w:r>
      <w:r>
        <w:rPr>
          <w:sz w:val="20"/>
        </w:rPr>
        <w:t>la Ley 27/1984, de 26 de julio, sobre Reconversión y Reindustrialización.</w:t>
      </w:r>
    </w:p>
    <w:p>
      <w:pPr>
        <w:pStyle w:val="ListParagraph"/>
        <w:numPr>
          <w:ilvl w:val="1"/>
          <w:numId w:val="19"/>
        </w:numPr>
        <w:tabs>
          <w:tab w:pos="1508" w:val="left" w:leader="none"/>
        </w:tabs>
        <w:spacing w:line="240" w:lineRule="auto" w:before="2" w:after="0"/>
        <w:ind w:left="1508" w:right="0" w:hanging="233"/>
        <w:jc w:val="both"/>
        <w:rPr>
          <w:sz w:val="20"/>
        </w:rPr>
      </w:pPr>
      <w:r>
        <w:rPr>
          <w:sz w:val="20"/>
        </w:rPr>
        <w:t>Las</w:t>
      </w:r>
      <w:r>
        <w:rPr>
          <w:spacing w:val="-1"/>
          <w:sz w:val="20"/>
        </w:rPr>
        <w:t> </w:t>
      </w:r>
      <w:r>
        <w:rPr>
          <w:sz w:val="20"/>
        </w:rPr>
        <w:t>uniones, federaciones y confederaciones de </w:t>
      </w:r>
      <w:r>
        <w:rPr>
          <w:spacing w:val="-2"/>
          <w:sz w:val="20"/>
        </w:rPr>
        <w:t>cooperativas.»</w:t>
      </w:r>
    </w:p>
    <w:p>
      <w:pPr>
        <w:pStyle w:val="ListParagraph"/>
        <w:numPr>
          <w:ilvl w:val="0"/>
          <w:numId w:val="19"/>
        </w:numPr>
        <w:tabs>
          <w:tab w:pos="834" w:val="left" w:leader="none"/>
        </w:tabs>
        <w:spacing w:line="249" w:lineRule="auto" w:before="130" w:after="0"/>
        <w:ind w:left="255" w:right="1103" w:firstLine="340"/>
        <w:jc w:val="left"/>
        <w:rPr>
          <w:sz w:val="20"/>
        </w:rPr>
      </w:pPr>
      <w:r>
        <w:rPr>
          <w:sz w:val="20"/>
        </w:rPr>
        <w:t>Se modifica el apartado 4 del artículo 26 de la Ley 43/1995, de 27 de diciembre, del</w:t>
      </w:r>
      <w:r>
        <w:rPr>
          <w:spacing w:val="40"/>
          <w:sz w:val="20"/>
        </w:rPr>
        <w:t> </w:t>
      </w:r>
      <w:r>
        <w:rPr>
          <w:sz w:val="20"/>
        </w:rPr>
        <w:t>Impuesto sobre Sociedades, que quedará redactado en los siguientes términos:</w:t>
      </w:r>
    </w:p>
    <w:p>
      <w:pPr>
        <w:pStyle w:val="ListParagraph"/>
        <w:spacing w:after="0" w:line="249" w:lineRule="auto"/>
        <w:jc w:val="left"/>
        <w:rPr>
          <w:sz w:val="20"/>
        </w:rPr>
        <w:sectPr>
          <w:pgSz w:w="11910" w:h="16840"/>
          <w:pgMar w:header="349" w:footer="530" w:top="1200" w:bottom="760" w:left="1559" w:right="708"/>
        </w:sectPr>
      </w:pPr>
    </w:p>
    <w:p>
      <w:pPr>
        <w:pStyle w:val="BodyText"/>
        <w:spacing w:before="0"/>
        <w:ind w:left="0" w:firstLine="0"/>
        <w:jc w:val="left"/>
      </w:pPr>
    </w:p>
    <w:p>
      <w:pPr>
        <w:pStyle w:val="BodyText"/>
        <w:spacing w:before="197"/>
        <w:ind w:left="0" w:firstLine="0"/>
        <w:jc w:val="left"/>
      </w:pPr>
    </w:p>
    <w:p>
      <w:pPr>
        <w:pStyle w:val="BodyText"/>
        <w:spacing w:line="249" w:lineRule="auto" w:before="0"/>
        <w:ind w:left="935" w:right="1103"/>
      </w:pPr>
      <w:r>
        <w:rPr/>
        <w:t>«4. Tributarán al 10 por 100 las entidades a las que sea de aplicación el régimen fiscal establecido en la Ley 49/2002, de 23 de diciembre, de régimen fiscal de las entidades sin fines lucrativos y de los incentivos fiscales al mecenazgo.»</w:t>
      </w:r>
    </w:p>
    <w:p>
      <w:pPr>
        <w:pStyle w:val="ListParagraph"/>
        <w:numPr>
          <w:ilvl w:val="0"/>
          <w:numId w:val="19"/>
        </w:numPr>
        <w:tabs>
          <w:tab w:pos="849" w:val="left" w:leader="none"/>
        </w:tabs>
        <w:spacing w:line="249" w:lineRule="auto" w:before="122" w:after="0"/>
        <w:ind w:left="255" w:right="1103" w:firstLine="340"/>
        <w:jc w:val="both"/>
        <w:rPr>
          <w:sz w:val="20"/>
        </w:rPr>
      </w:pPr>
      <w:r>
        <w:rPr>
          <w:sz w:val="20"/>
        </w:rPr>
        <w:t>Se modifican la rúbrica del artículo 35 de la Ley 43/1995, de 27 de diciembre, del Impuesto sobre Sociedades, y el apartado 1 de dicho artículo, que quedan redactados en los siguientes términos:</w:t>
      </w:r>
    </w:p>
    <w:p>
      <w:pPr>
        <w:spacing w:line="249" w:lineRule="auto" w:before="229"/>
        <w:ind w:left="935" w:right="1104" w:firstLine="0"/>
        <w:jc w:val="both"/>
        <w:rPr>
          <w:i/>
          <w:sz w:val="20"/>
        </w:rPr>
      </w:pPr>
      <w:r>
        <w:rPr>
          <w:b/>
          <w:sz w:val="20"/>
        </w:rPr>
        <w:t>«Artículo 35.</w:t>
      </w:r>
      <w:r>
        <w:rPr>
          <w:b/>
          <w:spacing w:val="80"/>
          <w:sz w:val="20"/>
        </w:rPr>
        <w:t> </w:t>
      </w:r>
      <w:r>
        <w:rPr>
          <w:i/>
          <w:sz w:val="20"/>
        </w:rPr>
        <w:t>Deducción por actuaciones para la protección y difusión del</w:t>
      </w:r>
      <w:r>
        <w:rPr>
          <w:i/>
          <w:spacing w:val="40"/>
          <w:sz w:val="20"/>
        </w:rPr>
        <w:t> </w:t>
      </w:r>
      <w:r>
        <w:rPr>
          <w:i/>
          <w:sz w:val="20"/>
        </w:rPr>
        <w:t>Patrimonio Histórico Español y de las ciudades, conjuntos y bienes declarados Patrimonio</w:t>
      </w:r>
      <w:r>
        <w:rPr>
          <w:i/>
          <w:spacing w:val="-1"/>
          <w:sz w:val="20"/>
        </w:rPr>
        <w:t> </w:t>
      </w:r>
      <w:r>
        <w:rPr>
          <w:i/>
          <w:sz w:val="20"/>
        </w:rPr>
        <w:t>Mundial,</w:t>
      </w:r>
      <w:r>
        <w:rPr>
          <w:i/>
          <w:spacing w:val="-1"/>
          <w:sz w:val="20"/>
        </w:rPr>
        <w:t> </w:t>
      </w:r>
      <w:r>
        <w:rPr>
          <w:i/>
          <w:sz w:val="20"/>
        </w:rPr>
        <w:t>así</w:t>
      </w:r>
      <w:r>
        <w:rPr>
          <w:i/>
          <w:spacing w:val="-1"/>
          <w:sz w:val="20"/>
        </w:rPr>
        <w:t> </w:t>
      </w:r>
      <w:r>
        <w:rPr>
          <w:i/>
          <w:sz w:val="20"/>
        </w:rPr>
        <w:t>como</w:t>
      </w:r>
      <w:r>
        <w:rPr>
          <w:i/>
          <w:spacing w:val="-1"/>
          <w:sz w:val="20"/>
        </w:rPr>
        <w:t> </w:t>
      </w:r>
      <w:r>
        <w:rPr>
          <w:i/>
          <w:sz w:val="20"/>
        </w:rPr>
        <w:t>por</w:t>
      </w:r>
      <w:r>
        <w:rPr>
          <w:i/>
          <w:spacing w:val="-1"/>
          <w:sz w:val="20"/>
        </w:rPr>
        <w:t> </w:t>
      </w:r>
      <w:r>
        <w:rPr>
          <w:i/>
          <w:sz w:val="20"/>
        </w:rPr>
        <w:t>inversiones</w:t>
      </w:r>
      <w:r>
        <w:rPr>
          <w:i/>
          <w:spacing w:val="-1"/>
          <w:sz w:val="20"/>
        </w:rPr>
        <w:t> </w:t>
      </w:r>
      <w:r>
        <w:rPr>
          <w:i/>
          <w:sz w:val="20"/>
        </w:rPr>
        <w:t>en</w:t>
      </w:r>
      <w:r>
        <w:rPr>
          <w:i/>
          <w:spacing w:val="-1"/>
          <w:sz w:val="20"/>
        </w:rPr>
        <w:t> </w:t>
      </w:r>
      <w:r>
        <w:rPr>
          <w:i/>
          <w:sz w:val="20"/>
        </w:rPr>
        <w:t>producciones</w:t>
      </w:r>
      <w:r>
        <w:rPr>
          <w:i/>
          <w:spacing w:val="-1"/>
          <w:sz w:val="20"/>
        </w:rPr>
        <w:t> </w:t>
      </w:r>
      <w:r>
        <w:rPr>
          <w:i/>
          <w:sz w:val="20"/>
        </w:rPr>
        <w:t>cinematográficas</w:t>
      </w:r>
      <w:r>
        <w:rPr>
          <w:i/>
          <w:spacing w:val="-1"/>
          <w:sz w:val="20"/>
        </w:rPr>
        <w:t> </w:t>
      </w:r>
      <w:r>
        <w:rPr>
          <w:i/>
          <w:sz w:val="20"/>
        </w:rPr>
        <w:t>y</w:t>
      </w:r>
      <w:r>
        <w:rPr>
          <w:i/>
          <w:spacing w:val="-1"/>
          <w:sz w:val="20"/>
        </w:rPr>
        <w:t> </w:t>
      </w:r>
      <w:r>
        <w:rPr>
          <w:i/>
          <w:sz w:val="20"/>
        </w:rPr>
        <w:t>en edición de libros.</w:t>
      </w:r>
    </w:p>
    <w:p>
      <w:pPr>
        <w:pStyle w:val="ListParagraph"/>
        <w:numPr>
          <w:ilvl w:val="0"/>
          <w:numId w:val="20"/>
        </w:numPr>
        <w:tabs>
          <w:tab w:pos="1529" w:val="left" w:leader="none"/>
        </w:tabs>
        <w:spacing w:line="249" w:lineRule="auto" w:before="117" w:after="0"/>
        <w:ind w:left="935" w:right="1104" w:firstLine="340"/>
        <w:jc w:val="both"/>
        <w:rPr>
          <w:sz w:val="20"/>
        </w:rPr>
      </w:pPr>
      <w:r>
        <w:rPr>
          <w:sz w:val="20"/>
        </w:rPr>
        <w:t>Los sujetos pasivos del Impuesto sobre Sociedades tendrán derecho a una deducción en la cuota íntegra del 15 por 100 del importe de las inversiones o gastos que realicen para:</w:t>
      </w:r>
    </w:p>
    <w:p>
      <w:pPr>
        <w:pStyle w:val="ListParagraph"/>
        <w:numPr>
          <w:ilvl w:val="1"/>
          <w:numId w:val="20"/>
        </w:numPr>
        <w:tabs>
          <w:tab w:pos="1518" w:val="left" w:leader="none"/>
        </w:tabs>
        <w:spacing w:line="249" w:lineRule="auto" w:before="173" w:after="0"/>
        <w:ind w:left="935" w:right="1104" w:firstLine="340"/>
        <w:jc w:val="both"/>
        <w:rPr>
          <w:sz w:val="20"/>
        </w:rPr>
      </w:pPr>
      <w:r>
        <w:rPr>
          <w:sz w:val="20"/>
        </w:rPr>
        <w:t>La adquisición de bienes del Patrimonio Histórico Español, realizada fuera del territorio español para su introducción dentro de dicho territorio, siempre que los bienes permanezcan en él y dentro del patrimonio del titular durante al menos tres </w:t>
      </w:r>
      <w:r>
        <w:rPr>
          <w:spacing w:val="-2"/>
          <w:sz w:val="20"/>
        </w:rPr>
        <w:t>años.</w:t>
      </w:r>
    </w:p>
    <w:p>
      <w:pPr>
        <w:pStyle w:val="BodyText"/>
        <w:spacing w:line="249" w:lineRule="auto" w:before="3"/>
        <w:ind w:left="935" w:right="1104"/>
      </w:pPr>
      <w:r>
        <w:rPr/>
        <w:t>La base de esta deducción será la valoración efectuada por la Junta de Calificación, Valoración y Exportación.</w:t>
      </w:r>
    </w:p>
    <w:p>
      <w:pPr>
        <w:pStyle w:val="ListParagraph"/>
        <w:numPr>
          <w:ilvl w:val="1"/>
          <w:numId w:val="20"/>
        </w:numPr>
        <w:tabs>
          <w:tab w:pos="1518" w:val="left" w:leader="none"/>
        </w:tabs>
        <w:spacing w:line="249" w:lineRule="auto" w:before="2" w:after="0"/>
        <w:ind w:left="935" w:right="1103" w:firstLine="340"/>
        <w:jc w:val="both"/>
        <w:rPr>
          <w:sz w:val="20"/>
        </w:rPr>
      </w:pPr>
      <w:r>
        <w:rPr>
          <w:sz w:val="20"/>
        </w:rPr>
        <w:t>La conservación, reparación, restauración, difusión y exposición de los bienes de su propiedad que estén declarados de interés cultural conforme a la normativa del Patrimonio</w:t>
      </w:r>
      <w:r>
        <w:rPr>
          <w:spacing w:val="-2"/>
          <w:sz w:val="20"/>
        </w:rPr>
        <w:t> </w:t>
      </w:r>
      <w:r>
        <w:rPr>
          <w:sz w:val="20"/>
        </w:rPr>
        <w:t>Histórico</w:t>
      </w:r>
      <w:r>
        <w:rPr>
          <w:spacing w:val="-2"/>
          <w:sz w:val="20"/>
        </w:rPr>
        <w:t> </w:t>
      </w:r>
      <w:r>
        <w:rPr>
          <w:sz w:val="20"/>
        </w:rPr>
        <w:t>del</w:t>
      </w:r>
      <w:r>
        <w:rPr>
          <w:spacing w:val="-2"/>
          <w:sz w:val="20"/>
        </w:rPr>
        <w:t> </w:t>
      </w:r>
      <w:r>
        <w:rPr>
          <w:sz w:val="20"/>
        </w:rPr>
        <w:t>Estado</w:t>
      </w:r>
      <w:r>
        <w:rPr>
          <w:spacing w:val="-2"/>
          <w:sz w:val="20"/>
        </w:rPr>
        <w:t> </w:t>
      </w:r>
      <w:r>
        <w:rPr>
          <w:sz w:val="20"/>
        </w:rPr>
        <w:t>y</w:t>
      </w:r>
      <w:r>
        <w:rPr>
          <w:spacing w:val="-2"/>
          <w:sz w:val="20"/>
        </w:rPr>
        <w:t> </w:t>
      </w:r>
      <w:r>
        <w:rPr>
          <w:sz w:val="20"/>
        </w:rPr>
        <w:t>de</w:t>
      </w:r>
      <w:r>
        <w:rPr>
          <w:spacing w:val="-2"/>
          <w:sz w:val="20"/>
        </w:rPr>
        <w:t> </w:t>
      </w:r>
      <w:r>
        <w:rPr>
          <w:sz w:val="20"/>
        </w:rPr>
        <w:t>las</w:t>
      </w:r>
      <w:r>
        <w:rPr>
          <w:spacing w:val="-2"/>
          <w:sz w:val="20"/>
        </w:rPr>
        <w:t> </w:t>
      </w:r>
      <w:r>
        <w:rPr>
          <w:sz w:val="20"/>
        </w:rPr>
        <w:t>Comunidades</w:t>
      </w:r>
      <w:r>
        <w:rPr>
          <w:spacing w:val="-2"/>
          <w:sz w:val="20"/>
        </w:rPr>
        <w:t> </w:t>
      </w:r>
      <w:r>
        <w:rPr>
          <w:sz w:val="20"/>
        </w:rPr>
        <w:t>Autónomas,</w:t>
      </w:r>
      <w:r>
        <w:rPr>
          <w:spacing w:val="-2"/>
          <w:sz w:val="20"/>
        </w:rPr>
        <w:t> </w:t>
      </w:r>
      <w:r>
        <w:rPr>
          <w:sz w:val="20"/>
        </w:rPr>
        <w:t>siempre</w:t>
      </w:r>
      <w:r>
        <w:rPr>
          <w:spacing w:val="-2"/>
          <w:sz w:val="20"/>
        </w:rPr>
        <w:t> </w:t>
      </w:r>
      <w:r>
        <w:rPr>
          <w:sz w:val="20"/>
        </w:rPr>
        <w:t>y</w:t>
      </w:r>
      <w:r>
        <w:rPr>
          <w:spacing w:val="-2"/>
          <w:sz w:val="20"/>
        </w:rPr>
        <w:t> </w:t>
      </w:r>
      <w:r>
        <w:rPr>
          <w:sz w:val="20"/>
        </w:rPr>
        <w:t>cuando se cumplan las exigencias establecidas en dicha normativa, en particular respecto de los deberes de visita y exposición pública de dichos bienes.</w:t>
      </w:r>
    </w:p>
    <w:p>
      <w:pPr>
        <w:pStyle w:val="ListParagraph"/>
        <w:numPr>
          <w:ilvl w:val="1"/>
          <w:numId w:val="20"/>
        </w:numPr>
        <w:tabs>
          <w:tab w:pos="1516" w:val="left" w:leader="none"/>
        </w:tabs>
        <w:spacing w:line="249" w:lineRule="auto" w:before="4" w:after="0"/>
        <w:ind w:left="935" w:right="1103" w:firstLine="340"/>
        <w:jc w:val="both"/>
        <w:rPr>
          <w:sz w:val="20"/>
        </w:rPr>
      </w:pPr>
      <w:r>
        <w:rPr>
          <w:sz w:val="20"/>
        </w:rPr>
        <w:t>La rehabilitación de edificios, el mantenimiento y reparación de sus tejados y fachadas, así como la mejora de infraestructuras de su propiedad situados en el entorno que sea objeto de protección de las ciudades españolas o de los conjuntos arquitectónicos, arqueológicos, naturales o paisajísticos y de los bienes </w:t>
      </w:r>
      <w:r>
        <w:rPr>
          <w:sz w:val="20"/>
        </w:rPr>
        <w:t>declarados Patrimonio Mundial por la Unesco situados en España.»</w:t>
      </w:r>
    </w:p>
    <w:p>
      <w:pPr>
        <w:pStyle w:val="ListParagraph"/>
        <w:numPr>
          <w:ilvl w:val="0"/>
          <w:numId w:val="19"/>
        </w:numPr>
        <w:tabs>
          <w:tab w:pos="822" w:val="left" w:leader="none"/>
        </w:tabs>
        <w:spacing w:line="249" w:lineRule="auto" w:before="124" w:after="0"/>
        <w:ind w:left="255" w:right="1105" w:firstLine="340"/>
        <w:jc w:val="both"/>
        <w:rPr>
          <w:sz w:val="20"/>
        </w:rPr>
      </w:pPr>
      <w:r>
        <w:rPr>
          <w:sz w:val="20"/>
        </w:rPr>
        <w:t>Se modifica el artículo 134 de la Ley 43/1995, de 27 de diciembre, del Impuesto sobre Sociedades, que queda redactado en los siguientes términos:</w:t>
      </w:r>
    </w:p>
    <w:p>
      <w:pPr>
        <w:spacing w:before="228"/>
        <w:ind w:left="935" w:right="0" w:firstLine="0"/>
        <w:jc w:val="both"/>
        <w:rPr>
          <w:i/>
          <w:sz w:val="20"/>
        </w:rPr>
      </w:pPr>
      <w:r>
        <w:rPr>
          <w:b/>
          <w:sz w:val="20"/>
        </w:rPr>
        <w:t>«Artículo</w:t>
      </w:r>
      <w:r>
        <w:rPr>
          <w:b/>
          <w:spacing w:val="-2"/>
          <w:sz w:val="20"/>
        </w:rPr>
        <w:t> </w:t>
      </w:r>
      <w:r>
        <w:rPr>
          <w:b/>
          <w:sz w:val="20"/>
        </w:rPr>
        <w:t>134.</w:t>
      </w:r>
      <w:r>
        <w:rPr>
          <w:b/>
          <w:spacing w:val="54"/>
          <w:sz w:val="20"/>
        </w:rPr>
        <w:t> </w:t>
      </w:r>
      <w:r>
        <w:rPr>
          <w:i/>
          <w:sz w:val="20"/>
        </w:rPr>
        <w:t>Rentas </w:t>
      </w:r>
      <w:r>
        <w:rPr>
          <w:i/>
          <w:spacing w:val="-2"/>
          <w:sz w:val="20"/>
        </w:rPr>
        <w:t>exentas.</w:t>
      </w:r>
    </w:p>
    <w:p>
      <w:pPr>
        <w:pStyle w:val="ListParagraph"/>
        <w:numPr>
          <w:ilvl w:val="0"/>
          <w:numId w:val="21"/>
        </w:numPr>
        <w:tabs>
          <w:tab w:pos="1503" w:val="left" w:leader="none"/>
        </w:tabs>
        <w:spacing w:line="249" w:lineRule="auto" w:before="124" w:after="0"/>
        <w:ind w:left="935" w:right="1104" w:firstLine="340"/>
        <w:jc w:val="both"/>
        <w:rPr>
          <w:sz w:val="20"/>
        </w:rPr>
      </w:pPr>
      <w:r>
        <w:rPr>
          <w:sz w:val="20"/>
        </w:rPr>
        <w:t>Estarán exentas las siguientes rentas obtenidas por las entidades que se citan en el artículo anterior:</w:t>
      </w:r>
    </w:p>
    <w:p>
      <w:pPr>
        <w:pStyle w:val="ListParagraph"/>
        <w:numPr>
          <w:ilvl w:val="1"/>
          <w:numId w:val="21"/>
        </w:numPr>
        <w:tabs>
          <w:tab w:pos="1530" w:val="left" w:leader="none"/>
        </w:tabs>
        <w:spacing w:line="249" w:lineRule="auto" w:before="171" w:after="0"/>
        <w:ind w:left="935" w:right="1104" w:firstLine="340"/>
        <w:jc w:val="both"/>
        <w:rPr>
          <w:sz w:val="20"/>
        </w:rPr>
      </w:pPr>
      <w:r>
        <w:rPr>
          <w:sz w:val="20"/>
        </w:rPr>
        <w:t>Las que procedan de la realización de actividades que constituyan su objeto social o finalidad específica.</w:t>
      </w:r>
    </w:p>
    <w:p>
      <w:pPr>
        <w:pStyle w:val="BodyText"/>
        <w:spacing w:line="249" w:lineRule="auto"/>
        <w:ind w:left="935" w:right="1104"/>
      </w:pPr>
      <w:r>
        <w:rPr/>
        <w:t>A efectos de la aplicación de este régimen a la Entidad de Derecho Público Puertos del Estado y a las Autoridades Portuarias se considerará que no proceden</w:t>
      </w:r>
      <w:r>
        <w:rPr>
          <w:spacing w:val="40"/>
        </w:rPr>
        <w:t> </w:t>
      </w:r>
      <w:r>
        <w:rPr/>
        <w:t>de la realización de explotaciones económicas los ingresos de naturaleza tributaria y los procedentes del ejercicio de la potestad sancionadora y de la actividad administrativa realizadas por las Autoridades Portuarias, así como los procedentes</w:t>
      </w:r>
      <w:r>
        <w:rPr>
          <w:spacing w:val="40"/>
        </w:rPr>
        <w:t> </w:t>
      </w:r>
      <w:r>
        <w:rPr/>
        <w:t>de la actividad de coordinación y control de eficiencia del sistema portuario realizada por el Ente Público Puertos del Estado.</w:t>
      </w:r>
    </w:p>
    <w:p>
      <w:pPr>
        <w:pStyle w:val="ListParagraph"/>
        <w:numPr>
          <w:ilvl w:val="1"/>
          <w:numId w:val="21"/>
        </w:numPr>
        <w:tabs>
          <w:tab w:pos="1529" w:val="left" w:leader="none"/>
        </w:tabs>
        <w:spacing w:line="249" w:lineRule="auto" w:before="6" w:after="0"/>
        <w:ind w:left="935" w:right="1103" w:firstLine="340"/>
        <w:jc w:val="both"/>
        <w:rPr>
          <w:sz w:val="20"/>
        </w:rPr>
      </w:pPr>
      <w:r>
        <w:rPr>
          <w:sz w:val="20"/>
        </w:rPr>
        <w:t>Las derivadas de adquisiciones y de transmisiones a título lucrativo, siempre que unas y otras se obtengan o realicen en cumplimiento de su objeto o finalidad </w:t>
      </w:r>
      <w:r>
        <w:rPr>
          <w:spacing w:val="-2"/>
          <w:sz w:val="20"/>
        </w:rPr>
        <w:t>específica.</w:t>
      </w:r>
    </w:p>
    <w:p>
      <w:pPr>
        <w:pStyle w:val="ListParagraph"/>
        <w:numPr>
          <w:ilvl w:val="1"/>
          <w:numId w:val="21"/>
        </w:numPr>
        <w:tabs>
          <w:tab w:pos="1506" w:val="left" w:leader="none"/>
        </w:tabs>
        <w:spacing w:line="249" w:lineRule="auto" w:before="2" w:after="0"/>
        <w:ind w:left="935" w:right="1104" w:firstLine="340"/>
        <w:jc w:val="both"/>
        <w:rPr>
          <w:sz w:val="20"/>
        </w:rPr>
      </w:pPr>
      <w:r>
        <w:rPr>
          <w:sz w:val="20"/>
        </w:rPr>
        <w:t>Las que se pongan de manifiesto en la transmisión onerosa de bienes afectos a la realización del objeto o finalidad específica cuando el total producto obtenido se destine a nuevas inversiones relacionadas con dicho objeto o finalidad específica.</w:t>
      </w:r>
    </w:p>
    <w:p>
      <w:pPr>
        <w:pStyle w:val="BodyText"/>
        <w:spacing w:line="249" w:lineRule="auto" w:before="3"/>
        <w:ind w:left="935" w:right="1104"/>
      </w:pPr>
      <w:r>
        <w:rPr/>
        <w:t>Las nuevas inversiones deberán realizarse dentro del plazo comprendido entre el año anterior a la fecha de la entrega o puesta a disposición del elemento patrimonial</w:t>
      </w:r>
      <w:r>
        <w:rPr>
          <w:spacing w:val="40"/>
        </w:rPr>
        <w:t> </w:t>
      </w:r>
      <w:r>
        <w:rPr/>
        <w:t>y los tres años posteriores y mantenerse en el patrimonio de la entidad durante siete</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left="935" w:right="1104" w:firstLine="0"/>
      </w:pPr>
      <w:r>
        <w:rPr/>
        <w:t>años, excepto que su vida útil conforme al método de amortización, de los admitidos en el artículo 11.1 de esta Ley, que se aplique fuere inferior.</w:t>
      </w:r>
    </w:p>
    <w:p>
      <w:pPr>
        <w:pStyle w:val="BodyText"/>
        <w:spacing w:line="249" w:lineRule="auto" w:before="1"/>
        <w:ind w:left="935" w:right="1104"/>
      </w:pPr>
      <w:r>
        <w:rPr/>
        <w:t>En caso de no realizarse la inversión dentro del plazo señalado, la parte de cuota íntegra correspondiente a la renta obtenida se ingresará, además de los intereses de demora, conjuntamente con la cuota correspondiente al período impositivo en que venció aquél.</w:t>
      </w:r>
    </w:p>
    <w:p>
      <w:pPr>
        <w:pStyle w:val="BodyText"/>
        <w:spacing w:line="249" w:lineRule="auto" w:before="4"/>
        <w:ind w:left="935" w:right="1106"/>
      </w:pPr>
      <w:r>
        <w:rPr/>
        <w:t>La transmisión de dichos elementos antes del término del mencionado plazo determinará la integración en la base imponible de la parte de renta no gravada,</w:t>
      </w:r>
      <w:r>
        <w:rPr>
          <w:spacing w:val="40"/>
        </w:rPr>
        <w:t> </w:t>
      </w:r>
      <w:r>
        <w:rPr/>
        <w:t>salvo que el importe obtenido sea objeto de una nueva reinversión.</w:t>
      </w:r>
    </w:p>
    <w:p>
      <w:pPr>
        <w:pStyle w:val="ListParagraph"/>
        <w:numPr>
          <w:ilvl w:val="0"/>
          <w:numId w:val="21"/>
        </w:numPr>
        <w:tabs>
          <w:tab w:pos="1576" w:val="left" w:leader="none"/>
        </w:tabs>
        <w:spacing w:line="249" w:lineRule="auto" w:before="172" w:after="0"/>
        <w:ind w:left="935" w:right="1103" w:firstLine="340"/>
        <w:jc w:val="both"/>
        <w:rPr>
          <w:sz w:val="20"/>
        </w:rPr>
      </w:pPr>
      <w:r>
        <w:rPr>
          <w:sz w:val="20"/>
        </w:rPr>
        <w:t>La exención a que se refiere el apartado anterior no alcanzará a los rendimientos de explotaciones económicas, ni a las rentas derivadas del patrimonio, ni a las rentas obtenidas en transmisiones, distintas de las señaladas en él.</w:t>
      </w:r>
    </w:p>
    <w:p>
      <w:pPr>
        <w:pStyle w:val="ListParagraph"/>
        <w:numPr>
          <w:ilvl w:val="0"/>
          <w:numId w:val="21"/>
        </w:numPr>
        <w:tabs>
          <w:tab w:pos="1526" w:val="left" w:leader="none"/>
        </w:tabs>
        <w:spacing w:line="249" w:lineRule="auto" w:before="3" w:after="0"/>
        <w:ind w:left="935" w:right="1103" w:firstLine="340"/>
        <w:jc w:val="both"/>
        <w:rPr>
          <w:sz w:val="20"/>
        </w:rPr>
      </w:pPr>
      <w:r>
        <w:rPr>
          <w:sz w:val="20"/>
        </w:rPr>
        <w:t>Se considerarán rendimientos de una explotación económica todos aquellos que procediendo del trabajo personal y del capital conjuntamente, o de uno solo de estos factores, supongan por parte del sujeto pasivo la ordenación por cuenta propia de los medios de producción y de recursos humanos o de uno de ambos con la finalidad de intervenir en la producción o distribución de bienes o servicios.»</w:t>
      </w:r>
    </w:p>
    <w:p>
      <w:pPr>
        <w:pStyle w:val="ListParagraph"/>
        <w:numPr>
          <w:ilvl w:val="0"/>
          <w:numId w:val="19"/>
        </w:numPr>
        <w:tabs>
          <w:tab w:pos="822" w:val="left" w:leader="none"/>
        </w:tabs>
        <w:spacing w:line="249" w:lineRule="auto" w:before="124" w:after="0"/>
        <w:ind w:left="255" w:right="1105" w:firstLine="340"/>
        <w:jc w:val="left"/>
        <w:rPr>
          <w:sz w:val="20"/>
        </w:rPr>
      </w:pPr>
      <w:r>
        <w:rPr>
          <w:sz w:val="20"/>
        </w:rPr>
        <w:t>Se modifica el artículo 135 de la Ley 43/1995, de 27 de diciembre, del Impuesto sobre Sociedades, que queda redactado en los siguientes términos:</w:t>
      </w:r>
    </w:p>
    <w:p>
      <w:pPr>
        <w:spacing w:before="228"/>
        <w:ind w:left="935" w:right="0" w:firstLine="0"/>
        <w:jc w:val="both"/>
        <w:rPr>
          <w:i/>
          <w:sz w:val="20"/>
        </w:rPr>
      </w:pPr>
      <w:r>
        <w:rPr>
          <w:b/>
          <w:sz w:val="20"/>
        </w:rPr>
        <w:t>«Artículo</w:t>
      </w:r>
      <w:r>
        <w:rPr>
          <w:b/>
          <w:spacing w:val="-5"/>
          <w:sz w:val="20"/>
        </w:rPr>
        <w:t> </w:t>
      </w:r>
      <w:r>
        <w:rPr>
          <w:b/>
          <w:sz w:val="20"/>
        </w:rPr>
        <w:t>135.</w:t>
      </w:r>
      <w:r>
        <w:rPr>
          <w:b/>
          <w:spacing w:val="49"/>
          <w:sz w:val="20"/>
        </w:rPr>
        <w:t> </w:t>
      </w:r>
      <w:r>
        <w:rPr>
          <w:i/>
          <w:sz w:val="20"/>
        </w:rPr>
        <w:t>Determinación</w:t>
      </w:r>
      <w:r>
        <w:rPr>
          <w:i/>
          <w:spacing w:val="-2"/>
          <w:sz w:val="20"/>
        </w:rPr>
        <w:t> </w:t>
      </w:r>
      <w:r>
        <w:rPr>
          <w:i/>
          <w:sz w:val="20"/>
        </w:rPr>
        <w:t>de</w:t>
      </w:r>
      <w:r>
        <w:rPr>
          <w:i/>
          <w:spacing w:val="-3"/>
          <w:sz w:val="20"/>
        </w:rPr>
        <w:t> </w:t>
      </w:r>
      <w:r>
        <w:rPr>
          <w:i/>
          <w:sz w:val="20"/>
        </w:rPr>
        <w:t>la</w:t>
      </w:r>
      <w:r>
        <w:rPr>
          <w:i/>
          <w:spacing w:val="-2"/>
          <w:sz w:val="20"/>
        </w:rPr>
        <w:t> </w:t>
      </w:r>
      <w:r>
        <w:rPr>
          <w:i/>
          <w:sz w:val="20"/>
        </w:rPr>
        <w:t>base</w:t>
      </w:r>
      <w:r>
        <w:rPr>
          <w:i/>
          <w:spacing w:val="-2"/>
          <w:sz w:val="20"/>
        </w:rPr>
        <w:t> imponible.</w:t>
      </w:r>
    </w:p>
    <w:p>
      <w:pPr>
        <w:pStyle w:val="ListParagraph"/>
        <w:numPr>
          <w:ilvl w:val="0"/>
          <w:numId w:val="22"/>
        </w:numPr>
        <w:tabs>
          <w:tab w:pos="1511" w:val="left" w:leader="none"/>
        </w:tabs>
        <w:spacing w:line="249" w:lineRule="auto" w:before="123" w:after="0"/>
        <w:ind w:left="935" w:right="1104" w:firstLine="340"/>
        <w:jc w:val="both"/>
        <w:rPr>
          <w:sz w:val="20"/>
        </w:rPr>
      </w:pPr>
      <w:r>
        <w:rPr>
          <w:sz w:val="20"/>
        </w:rPr>
        <w:t>La base imponible se determinará aplicando las normas previstas en el Título IV de esta Ley.</w:t>
      </w:r>
    </w:p>
    <w:p>
      <w:pPr>
        <w:pStyle w:val="ListParagraph"/>
        <w:numPr>
          <w:ilvl w:val="0"/>
          <w:numId w:val="22"/>
        </w:numPr>
        <w:tabs>
          <w:tab w:pos="1508" w:val="left" w:leader="none"/>
        </w:tabs>
        <w:spacing w:line="249" w:lineRule="auto" w:before="2" w:after="0"/>
        <w:ind w:left="935" w:right="1105" w:firstLine="340"/>
        <w:jc w:val="both"/>
        <w:rPr>
          <w:sz w:val="20"/>
        </w:rPr>
      </w:pPr>
      <w:r>
        <w:rPr>
          <w:sz w:val="20"/>
        </w:rPr>
        <w:t>No tendrán la consideración de gastos fiscalmente deducibles, además de los establecidos en el artículo 14 de esta Ley, los siguientes:</w:t>
      </w:r>
    </w:p>
    <w:p>
      <w:pPr>
        <w:pStyle w:val="ListParagraph"/>
        <w:numPr>
          <w:ilvl w:val="1"/>
          <w:numId w:val="22"/>
        </w:numPr>
        <w:tabs>
          <w:tab w:pos="1575" w:val="left" w:leader="none"/>
        </w:tabs>
        <w:spacing w:line="249" w:lineRule="auto" w:before="172" w:after="0"/>
        <w:ind w:left="935" w:right="1103" w:firstLine="340"/>
        <w:jc w:val="both"/>
        <w:rPr>
          <w:sz w:val="20"/>
        </w:rPr>
      </w:pPr>
      <w:r>
        <w:rPr>
          <w:sz w:val="20"/>
        </w:rPr>
        <w:t>Los gastos imputables exclusivamente a las rentas exentas. Los gastos parcialmente imputables a las rentas no exentas serán deducibles en el porcentaje que representen los ingresos obtenidos en el ejercicio de explotaciones económicas no exentas respecto de los ingresos totales de la entidad.</w:t>
      </w:r>
    </w:p>
    <w:p>
      <w:pPr>
        <w:pStyle w:val="ListParagraph"/>
        <w:numPr>
          <w:ilvl w:val="1"/>
          <w:numId w:val="22"/>
        </w:numPr>
        <w:tabs>
          <w:tab w:pos="1510" w:val="left" w:leader="none"/>
        </w:tabs>
        <w:spacing w:line="249" w:lineRule="auto" w:before="3" w:after="0"/>
        <w:ind w:left="935" w:right="1104" w:firstLine="340"/>
        <w:jc w:val="both"/>
        <w:rPr>
          <w:sz w:val="20"/>
        </w:rPr>
      </w:pPr>
      <w:r>
        <w:rPr>
          <w:sz w:val="20"/>
        </w:rPr>
        <w:t>Las</w:t>
      </w:r>
      <w:r>
        <w:rPr>
          <w:spacing w:val="-3"/>
          <w:sz w:val="20"/>
        </w:rPr>
        <w:t> </w:t>
      </w:r>
      <w:r>
        <w:rPr>
          <w:sz w:val="20"/>
        </w:rPr>
        <w:t>cantidades</w:t>
      </w:r>
      <w:r>
        <w:rPr>
          <w:spacing w:val="-3"/>
          <w:sz w:val="20"/>
        </w:rPr>
        <w:t> </w:t>
      </w:r>
      <w:r>
        <w:rPr>
          <w:sz w:val="20"/>
        </w:rPr>
        <w:t>que</w:t>
      </w:r>
      <w:r>
        <w:rPr>
          <w:spacing w:val="-3"/>
          <w:sz w:val="20"/>
        </w:rPr>
        <w:t> </w:t>
      </w:r>
      <w:r>
        <w:rPr>
          <w:sz w:val="20"/>
        </w:rPr>
        <w:t>constituyan</w:t>
      </w:r>
      <w:r>
        <w:rPr>
          <w:spacing w:val="-3"/>
          <w:sz w:val="20"/>
        </w:rPr>
        <w:t> </w:t>
      </w:r>
      <w:r>
        <w:rPr>
          <w:sz w:val="20"/>
        </w:rPr>
        <w:t>aplicación</w:t>
      </w:r>
      <w:r>
        <w:rPr>
          <w:spacing w:val="-3"/>
          <w:sz w:val="20"/>
        </w:rPr>
        <w:t> </w:t>
      </w:r>
      <w:r>
        <w:rPr>
          <w:sz w:val="20"/>
        </w:rPr>
        <w:t>de</w:t>
      </w:r>
      <w:r>
        <w:rPr>
          <w:spacing w:val="-3"/>
          <w:sz w:val="20"/>
        </w:rPr>
        <w:t> </w:t>
      </w:r>
      <w:r>
        <w:rPr>
          <w:sz w:val="20"/>
        </w:rPr>
        <w:t>resultados</w:t>
      </w:r>
      <w:r>
        <w:rPr>
          <w:spacing w:val="-3"/>
          <w:sz w:val="20"/>
        </w:rPr>
        <w:t> </w:t>
      </w:r>
      <w:r>
        <w:rPr>
          <w:sz w:val="20"/>
        </w:rPr>
        <w:t>y,</w:t>
      </w:r>
      <w:r>
        <w:rPr>
          <w:spacing w:val="-3"/>
          <w:sz w:val="20"/>
        </w:rPr>
        <w:t> </w:t>
      </w:r>
      <w:r>
        <w:rPr>
          <w:sz w:val="20"/>
        </w:rPr>
        <w:t>en</w:t>
      </w:r>
      <w:r>
        <w:rPr>
          <w:spacing w:val="-3"/>
          <w:sz w:val="20"/>
        </w:rPr>
        <w:t> </w:t>
      </w:r>
      <w:r>
        <w:rPr>
          <w:sz w:val="20"/>
        </w:rPr>
        <w:t>particular,</w:t>
      </w:r>
      <w:r>
        <w:rPr>
          <w:spacing w:val="-3"/>
          <w:sz w:val="20"/>
        </w:rPr>
        <w:t> </w:t>
      </w:r>
      <w:r>
        <w:rPr>
          <w:sz w:val="20"/>
        </w:rPr>
        <w:t>de</w:t>
      </w:r>
      <w:r>
        <w:rPr>
          <w:spacing w:val="-3"/>
          <w:sz w:val="20"/>
        </w:rPr>
        <w:t> </w:t>
      </w:r>
      <w:r>
        <w:rPr>
          <w:sz w:val="20"/>
        </w:rPr>
        <w:t>los que se destinen al sostenimiento de las actividades exentas a que se refiere el párrafo a) del apartado 1 del artículo anterior.»</w:t>
      </w:r>
    </w:p>
    <w:p>
      <w:pPr>
        <w:pStyle w:val="ListParagraph"/>
        <w:numPr>
          <w:ilvl w:val="0"/>
          <w:numId w:val="19"/>
        </w:numPr>
        <w:tabs>
          <w:tab w:pos="823" w:val="left" w:leader="none"/>
        </w:tabs>
        <w:spacing w:line="249" w:lineRule="auto" w:before="123" w:after="0"/>
        <w:ind w:left="255" w:right="1105" w:firstLine="340"/>
        <w:jc w:val="left"/>
        <w:rPr>
          <w:sz w:val="20"/>
        </w:rPr>
      </w:pPr>
      <w:r>
        <w:rPr>
          <w:sz w:val="20"/>
        </w:rPr>
        <w:t>Se añade un nuevo párrafo al apartado 1 del artículo 139 de la Ley 43/1995, de 27 de diciembre, del Impuesto sobre Sociedades, que queda redactado en los siguientes términos:</w:t>
      </w:r>
    </w:p>
    <w:p>
      <w:pPr>
        <w:pStyle w:val="BodyText"/>
        <w:spacing w:line="249" w:lineRule="auto" w:before="171"/>
        <w:ind w:left="935" w:right="1104"/>
      </w:pPr>
      <w:r>
        <w:rPr/>
        <w:t>«1. Los sujetos pasivos de este impuesto deberán llevar su contabilidad de acuerdo</w:t>
      </w:r>
      <w:r>
        <w:rPr>
          <w:spacing w:val="-1"/>
        </w:rPr>
        <w:t> </w:t>
      </w:r>
      <w:r>
        <w:rPr/>
        <w:t>con</w:t>
      </w:r>
      <w:r>
        <w:rPr>
          <w:spacing w:val="-1"/>
        </w:rPr>
        <w:t> </w:t>
      </w:r>
      <w:r>
        <w:rPr/>
        <w:t>lo</w:t>
      </w:r>
      <w:r>
        <w:rPr>
          <w:spacing w:val="-1"/>
        </w:rPr>
        <w:t> </w:t>
      </w:r>
      <w:r>
        <w:rPr/>
        <w:t>previsto</w:t>
      </w:r>
      <w:r>
        <w:rPr>
          <w:spacing w:val="-1"/>
        </w:rPr>
        <w:t> </w:t>
      </w:r>
      <w:r>
        <w:rPr/>
        <w:t>en</w:t>
      </w:r>
      <w:r>
        <w:rPr>
          <w:spacing w:val="-1"/>
        </w:rPr>
        <w:t> </w:t>
      </w:r>
      <w:r>
        <w:rPr/>
        <w:t>el</w:t>
      </w:r>
      <w:r>
        <w:rPr>
          <w:spacing w:val="-1"/>
        </w:rPr>
        <w:t> </w:t>
      </w:r>
      <w:r>
        <w:rPr/>
        <w:t>Código</w:t>
      </w:r>
      <w:r>
        <w:rPr>
          <w:spacing w:val="-1"/>
        </w:rPr>
        <w:t> </w:t>
      </w:r>
      <w:r>
        <w:rPr/>
        <w:t>de</w:t>
      </w:r>
      <w:r>
        <w:rPr>
          <w:spacing w:val="-1"/>
        </w:rPr>
        <w:t> </w:t>
      </w:r>
      <w:r>
        <w:rPr/>
        <w:t>Comercio</w:t>
      </w:r>
      <w:r>
        <w:rPr>
          <w:spacing w:val="-1"/>
        </w:rPr>
        <w:t> </w:t>
      </w:r>
      <w:r>
        <w:rPr/>
        <w:t>o</w:t>
      </w:r>
      <w:r>
        <w:rPr>
          <w:spacing w:val="-1"/>
        </w:rPr>
        <w:t> </w:t>
      </w:r>
      <w:r>
        <w:rPr/>
        <w:t>con</w:t>
      </w:r>
      <w:r>
        <w:rPr>
          <w:spacing w:val="-1"/>
        </w:rPr>
        <w:t> </w:t>
      </w:r>
      <w:r>
        <w:rPr/>
        <w:t>lo</w:t>
      </w:r>
      <w:r>
        <w:rPr>
          <w:spacing w:val="-1"/>
        </w:rPr>
        <w:t> </w:t>
      </w:r>
      <w:r>
        <w:rPr/>
        <w:t>establecido</w:t>
      </w:r>
      <w:r>
        <w:rPr>
          <w:spacing w:val="-1"/>
        </w:rPr>
        <w:t> </w:t>
      </w:r>
      <w:r>
        <w:rPr/>
        <w:t>en</w:t>
      </w:r>
      <w:r>
        <w:rPr>
          <w:spacing w:val="-1"/>
        </w:rPr>
        <w:t> </w:t>
      </w:r>
      <w:r>
        <w:rPr/>
        <w:t>las</w:t>
      </w:r>
      <w:r>
        <w:rPr>
          <w:spacing w:val="-1"/>
        </w:rPr>
        <w:t> </w:t>
      </w:r>
      <w:r>
        <w:rPr/>
        <w:t>normas por las que se rigen.</w:t>
      </w:r>
    </w:p>
    <w:p>
      <w:pPr>
        <w:pStyle w:val="BodyText"/>
        <w:spacing w:line="249" w:lineRule="auto" w:before="3"/>
        <w:ind w:left="935" w:right="1104"/>
      </w:pPr>
      <w:r>
        <w:rPr/>
        <w:t>En todo caso, los sujetos pasivos a que se refiere el Título VIII, capítulo XV, de esta Ley llevarán su contabilidad de tal forma que permita identificar los ingresos y gastos correspondientes a las rentas y explotaciones económicas no exentas.»</w:t>
      </w:r>
    </w:p>
    <w:p>
      <w:pPr>
        <w:spacing w:line="249" w:lineRule="auto" w:before="229"/>
        <w:ind w:left="255" w:right="1104" w:firstLine="0"/>
        <w:jc w:val="both"/>
        <w:rPr>
          <w:i/>
          <w:sz w:val="20"/>
        </w:rPr>
      </w:pPr>
      <w:bookmarkStart w:name="Disposición adicional tercera. Modificac" w:id="81"/>
      <w:bookmarkEnd w:id="81"/>
      <w:r>
        <w:rPr/>
      </w:r>
      <w:bookmarkStart w:name="_bookmark39" w:id="82"/>
      <w:bookmarkEnd w:id="82"/>
      <w:r>
        <w:rPr/>
      </w:r>
      <w:r>
        <w:rPr>
          <w:b/>
          <w:sz w:val="20"/>
        </w:rPr>
        <w:t>Disposición adicional tercera.</w:t>
      </w:r>
      <w:r>
        <w:rPr>
          <w:b/>
          <w:spacing w:val="40"/>
          <w:sz w:val="20"/>
        </w:rPr>
        <w:t> </w:t>
      </w:r>
      <w:r>
        <w:rPr>
          <w:i/>
          <w:sz w:val="20"/>
        </w:rPr>
        <w:t>Modificación del Real Decreto legislativo 1/1993, de 24 de septiembre, por el que se aprueba el texto refundido de la Ley del Impuesto sobre Transmisiones Patrimoniales y Actos Jurídicos Documentados.</w:t>
      </w:r>
    </w:p>
    <w:p>
      <w:pPr>
        <w:pStyle w:val="BodyText"/>
        <w:spacing w:line="249" w:lineRule="auto" w:before="116"/>
        <w:ind w:right="1104"/>
      </w:pPr>
      <w:r>
        <w:rPr/>
        <w:t>Se modifica la letra A) del artículo 45.I del texto refundido del Impuesto sobre Transmisiones</w:t>
      </w:r>
      <w:r>
        <w:rPr>
          <w:spacing w:val="-3"/>
        </w:rPr>
        <w:t> </w:t>
      </w:r>
      <w:r>
        <w:rPr/>
        <w:t>Patrimoniales</w:t>
      </w:r>
      <w:r>
        <w:rPr>
          <w:spacing w:val="-3"/>
        </w:rPr>
        <w:t> </w:t>
      </w:r>
      <w:r>
        <w:rPr/>
        <w:t>y</w:t>
      </w:r>
      <w:r>
        <w:rPr>
          <w:spacing w:val="-3"/>
        </w:rPr>
        <w:t> </w:t>
      </w:r>
      <w:r>
        <w:rPr/>
        <w:t>Actos</w:t>
      </w:r>
      <w:r>
        <w:rPr>
          <w:spacing w:val="-3"/>
        </w:rPr>
        <w:t> </w:t>
      </w:r>
      <w:r>
        <w:rPr/>
        <w:t>Jurídicos</w:t>
      </w:r>
      <w:r>
        <w:rPr>
          <w:spacing w:val="-3"/>
        </w:rPr>
        <w:t> </w:t>
      </w:r>
      <w:r>
        <w:rPr/>
        <w:t>Documentados,</w:t>
      </w:r>
      <w:r>
        <w:rPr>
          <w:spacing w:val="-3"/>
        </w:rPr>
        <w:t> </w:t>
      </w:r>
      <w:r>
        <w:rPr/>
        <w:t>aprobado</w:t>
      </w:r>
      <w:r>
        <w:rPr>
          <w:spacing w:val="-3"/>
        </w:rPr>
        <w:t> </w:t>
      </w:r>
      <w:r>
        <w:rPr/>
        <w:t>por</w:t>
      </w:r>
      <w:r>
        <w:rPr>
          <w:spacing w:val="-3"/>
        </w:rPr>
        <w:t> </w:t>
      </w:r>
      <w:r>
        <w:rPr/>
        <w:t>el</w:t>
      </w:r>
      <w:r>
        <w:rPr>
          <w:spacing w:val="-3"/>
        </w:rPr>
        <w:t> </w:t>
      </w:r>
      <w:r>
        <w:rPr/>
        <w:t>Real</w:t>
      </w:r>
      <w:r>
        <w:rPr>
          <w:spacing w:val="-3"/>
        </w:rPr>
        <w:t> </w:t>
      </w:r>
      <w:r>
        <w:rPr/>
        <w:t>Decreto legislativo 1/1993, de 24 de septiembre, que quedará redactado en los siguientes términos:</w:t>
      </w:r>
    </w:p>
    <w:p>
      <w:pPr>
        <w:pStyle w:val="BodyText"/>
        <w:spacing w:before="172"/>
        <w:ind w:left="1275" w:firstLine="0"/>
        <w:jc w:val="left"/>
      </w:pPr>
      <w:r>
        <w:rPr/>
        <w:t>«I.</w:t>
      </w:r>
      <w:r>
        <w:rPr>
          <w:spacing w:val="-2"/>
        </w:rPr>
        <w:t> </w:t>
      </w:r>
      <w:r>
        <w:rPr/>
        <w:t>A)</w:t>
      </w:r>
      <w:r>
        <w:rPr>
          <w:spacing w:val="-2"/>
        </w:rPr>
        <w:t> </w:t>
      </w:r>
      <w:r>
        <w:rPr/>
        <w:t>Estarán</w:t>
      </w:r>
      <w:r>
        <w:rPr>
          <w:spacing w:val="-1"/>
        </w:rPr>
        <w:t> </w:t>
      </w:r>
      <w:r>
        <w:rPr/>
        <w:t>exentos</w:t>
      </w:r>
      <w:r>
        <w:rPr>
          <w:spacing w:val="-2"/>
        </w:rPr>
        <w:t> </w:t>
      </w:r>
      <w:r>
        <w:rPr/>
        <w:t>del</w:t>
      </w:r>
      <w:r>
        <w:rPr>
          <w:spacing w:val="-1"/>
        </w:rPr>
        <w:t> </w:t>
      </w:r>
      <w:r>
        <w:rPr>
          <w:spacing w:val="-2"/>
        </w:rPr>
        <w:t>impuesto:</w:t>
      </w:r>
    </w:p>
    <w:p>
      <w:pPr>
        <w:pStyle w:val="ListParagraph"/>
        <w:numPr>
          <w:ilvl w:val="1"/>
          <w:numId w:val="19"/>
        </w:numPr>
        <w:tabs>
          <w:tab w:pos="1534" w:val="left" w:leader="none"/>
        </w:tabs>
        <w:spacing w:line="249" w:lineRule="auto" w:before="180" w:after="0"/>
        <w:ind w:left="935" w:right="1103" w:firstLine="340"/>
        <w:jc w:val="both"/>
        <w:rPr>
          <w:sz w:val="20"/>
        </w:rPr>
      </w:pPr>
      <w:r>
        <w:rPr>
          <w:sz w:val="20"/>
        </w:rPr>
        <w:t>El Estado y las Administraciones públicas territoriales e institucionales y sus establecimientos de beneficencia, cultura, Seguridad Social, docentes o de fines </w:t>
      </w:r>
      <w:r>
        <w:rPr>
          <w:spacing w:val="-2"/>
          <w:sz w:val="20"/>
        </w:rPr>
        <w:t>científicos.</w:t>
      </w:r>
    </w:p>
    <w:p>
      <w:pPr>
        <w:pStyle w:val="ListParagraph"/>
        <w:spacing w:after="0" w:line="249" w:lineRule="auto"/>
        <w:jc w:val="both"/>
        <w:rPr>
          <w:sz w:val="20"/>
        </w:rPr>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left="935" w:right="1105"/>
      </w:pPr>
      <w:r>
        <w:rPr/>
        <w:t>Esta</w:t>
      </w:r>
      <w:r>
        <w:rPr>
          <w:spacing w:val="-2"/>
        </w:rPr>
        <w:t> </w:t>
      </w:r>
      <w:r>
        <w:rPr/>
        <w:t>exención</w:t>
      </w:r>
      <w:r>
        <w:rPr>
          <w:spacing w:val="-2"/>
        </w:rPr>
        <w:t> </w:t>
      </w:r>
      <w:r>
        <w:rPr/>
        <w:t>será</w:t>
      </w:r>
      <w:r>
        <w:rPr>
          <w:spacing w:val="-2"/>
        </w:rPr>
        <w:t> </w:t>
      </w:r>
      <w:r>
        <w:rPr/>
        <w:t>igualmente</w:t>
      </w:r>
      <w:r>
        <w:rPr>
          <w:spacing w:val="-2"/>
        </w:rPr>
        <w:t> </w:t>
      </w:r>
      <w:r>
        <w:rPr/>
        <w:t>aplicable</w:t>
      </w:r>
      <w:r>
        <w:rPr>
          <w:spacing w:val="-2"/>
        </w:rPr>
        <w:t> </w:t>
      </w:r>
      <w:r>
        <w:rPr/>
        <w:t>a</w:t>
      </w:r>
      <w:r>
        <w:rPr>
          <w:spacing w:val="-2"/>
        </w:rPr>
        <w:t> </w:t>
      </w:r>
      <w:r>
        <w:rPr/>
        <w:t>aquellas</w:t>
      </w:r>
      <w:r>
        <w:rPr>
          <w:spacing w:val="-2"/>
        </w:rPr>
        <w:t> </w:t>
      </w:r>
      <w:r>
        <w:rPr/>
        <w:t>entidades</w:t>
      </w:r>
      <w:r>
        <w:rPr>
          <w:spacing w:val="-2"/>
        </w:rPr>
        <w:t> </w:t>
      </w:r>
      <w:r>
        <w:rPr/>
        <w:t>cuyo</w:t>
      </w:r>
      <w:r>
        <w:rPr>
          <w:spacing w:val="-2"/>
        </w:rPr>
        <w:t> </w:t>
      </w:r>
      <w:r>
        <w:rPr/>
        <w:t>régimen</w:t>
      </w:r>
      <w:r>
        <w:rPr>
          <w:spacing w:val="-2"/>
        </w:rPr>
        <w:t> </w:t>
      </w:r>
      <w:r>
        <w:rPr/>
        <w:t>fiscal haya</w:t>
      </w:r>
      <w:r>
        <w:rPr>
          <w:spacing w:val="-1"/>
        </w:rPr>
        <w:t> </w:t>
      </w:r>
      <w:r>
        <w:rPr/>
        <w:t>sido</w:t>
      </w:r>
      <w:r>
        <w:rPr>
          <w:spacing w:val="-1"/>
        </w:rPr>
        <w:t> </w:t>
      </w:r>
      <w:r>
        <w:rPr/>
        <w:t>equiparado</w:t>
      </w:r>
      <w:r>
        <w:rPr>
          <w:spacing w:val="-1"/>
        </w:rPr>
        <w:t> </w:t>
      </w:r>
      <w:r>
        <w:rPr/>
        <w:t>por</w:t>
      </w:r>
      <w:r>
        <w:rPr>
          <w:spacing w:val="-1"/>
        </w:rPr>
        <w:t> </w:t>
      </w:r>
      <w:r>
        <w:rPr/>
        <w:t>una</w:t>
      </w:r>
      <w:r>
        <w:rPr>
          <w:spacing w:val="-1"/>
        </w:rPr>
        <w:t> </w:t>
      </w:r>
      <w:r>
        <w:rPr/>
        <w:t>Ley</w:t>
      </w:r>
      <w:r>
        <w:rPr>
          <w:spacing w:val="-1"/>
        </w:rPr>
        <w:t> </w:t>
      </w:r>
      <w:r>
        <w:rPr/>
        <w:t>al</w:t>
      </w:r>
      <w:r>
        <w:rPr>
          <w:spacing w:val="-1"/>
        </w:rPr>
        <w:t> </w:t>
      </w:r>
      <w:r>
        <w:rPr/>
        <w:t>del</w:t>
      </w:r>
      <w:r>
        <w:rPr>
          <w:spacing w:val="-1"/>
        </w:rPr>
        <w:t> </w:t>
      </w:r>
      <w:r>
        <w:rPr/>
        <w:t>Estado</w:t>
      </w:r>
      <w:r>
        <w:rPr>
          <w:spacing w:val="-1"/>
        </w:rPr>
        <w:t> </w:t>
      </w:r>
      <w:r>
        <w:rPr/>
        <w:t>o</w:t>
      </w:r>
      <w:r>
        <w:rPr>
          <w:spacing w:val="-1"/>
        </w:rPr>
        <w:t> </w:t>
      </w:r>
      <w:r>
        <w:rPr/>
        <w:t>al</w:t>
      </w:r>
      <w:r>
        <w:rPr>
          <w:spacing w:val="-1"/>
        </w:rPr>
        <w:t> </w:t>
      </w:r>
      <w:r>
        <w:rPr/>
        <w:t>de</w:t>
      </w:r>
      <w:r>
        <w:rPr>
          <w:spacing w:val="-1"/>
        </w:rPr>
        <w:t> </w:t>
      </w:r>
      <w:r>
        <w:rPr/>
        <w:t>las</w:t>
      </w:r>
      <w:r>
        <w:rPr>
          <w:spacing w:val="-1"/>
        </w:rPr>
        <w:t> </w:t>
      </w:r>
      <w:r>
        <w:rPr/>
        <w:t>Administraciones</w:t>
      </w:r>
      <w:r>
        <w:rPr>
          <w:spacing w:val="-1"/>
        </w:rPr>
        <w:t> </w:t>
      </w:r>
      <w:r>
        <w:rPr/>
        <w:t>públicas </w:t>
      </w:r>
      <w:r>
        <w:rPr>
          <w:spacing w:val="-2"/>
        </w:rPr>
        <w:t>citadas.</w:t>
      </w:r>
    </w:p>
    <w:p>
      <w:pPr>
        <w:pStyle w:val="ListParagraph"/>
        <w:numPr>
          <w:ilvl w:val="1"/>
          <w:numId w:val="19"/>
        </w:numPr>
        <w:tabs>
          <w:tab w:pos="1553" w:val="left" w:leader="none"/>
        </w:tabs>
        <w:spacing w:line="249" w:lineRule="auto" w:before="2" w:after="0"/>
        <w:ind w:left="935" w:right="1103" w:firstLine="340"/>
        <w:jc w:val="both"/>
        <w:rPr>
          <w:sz w:val="20"/>
        </w:rPr>
      </w:pPr>
      <w:r>
        <w:rPr>
          <w:sz w:val="20"/>
        </w:rPr>
        <w:t>Las entidades sin fines lucrativos a que se refiere el artículo 2 de la Ley 49/2002, de..., de régimen fiscal de las entidades sin fines lucrativos y de los incentivos fiscales al mecenazgo, que se acojan al régimen fiscal especial en la</w:t>
      </w:r>
      <w:r>
        <w:rPr>
          <w:spacing w:val="40"/>
          <w:sz w:val="20"/>
        </w:rPr>
        <w:t> </w:t>
      </w:r>
      <w:r>
        <w:rPr>
          <w:sz w:val="20"/>
        </w:rPr>
        <w:t>forma prevista en el artículo 14 de dicha Ley.</w:t>
      </w:r>
    </w:p>
    <w:p>
      <w:pPr>
        <w:pStyle w:val="BodyText"/>
        <w:spacing w:line="249" w:lineRule="auto" w:before="3"/>
        <w:ind w:left="935" w:right="1105"/>
      </w:pPr>
      <w:r>
        <w:rPr/>
        <w:t>A la autoliquidación en que se aplique la exención se acompañará la documentación que acredite el derecho a la exención.</w:t>
      </w:r>
    </w:p>
    <w:p>
      <w:pPr>
        <w:pStyle w:val="ListParagraph"/>
        <w:numPr>
          <w:ilvl w:val="1"/>
          <w:numId w:val="19"/>
        </w:numPr>
        <w:tabs>
          <w:tab w:pos="1511" w:val="left" w:leader="none"/>
        </w:tabs>
        <w:spacing w:line="249" w:lineRule="auto" w:before="2" w:after="0"/>
        <w:ind w:left="935" w:right="1103" w:firstLine="340"/>
        <w:jc w:val="both"/>
        <w:rPr>
          <w:sz w:val="20"/>
        </w:rPr>
      </w:pPr>
      <w:r>
        <w:rPr>
          <w:sz w:val="20"/>
        </w:rPr>
        <w:t>Las cajas de ahorro, por las adquisiciones directamente destinadas a su obra </w:t>
      </w:r>
      <w:r>
        <w:rPr>
          <w:spacing w:val="-2"/>
          <w:sz w:val="20"/>
        </w:rPr>
        <w:t>social.</w:t>
      </w:r>
    </w:p>
    <w:p>
      <w:pPr>
        <w:pStyle w:val="ListParagraph"/>
        <w:numPr>
          <w:ilvl w:val="1"/>
          <w:numId w:val="19"/>
        </w:numPr>
        <w:tabs>
          <w:tab w:pos="1537" w:val="left" w:leader="none"/>
        </w:tabs>
        <w:spacing w:line="249" w:lineRule="auto" w:before="2" w:after="0"/>
        <w:ind w:left="935" w:right="1104" w:firstLine="340"/>
        <w:jc w:val="both"/>
        <w:rPr>
          <w:sz w:val="20"/>
        </w:rPr>
      </w:pPr>
      <w:r>
        <w:rPr>
          <w:sz w:val="20"/>
        </w:rPr>
        <w:t>La Iglesia Católica y las iglesias, confesiones y comunidades religiosas que tengan suscritos acuerdos de cooperación con el Estado español.</w:t>
      </w:r>
    </w:p>
    <w:p>
      <w:pPr>
        <w:pStyle w:val="ListParagraph"/>
        <w:numPr>
          <w:ilvl w:val="1"/>
          <w:numId w:val="19"/>
        </w:numPr>
        <w:tabs>
          <w:tab w:pos="1537" w:val="left" w:leader="none"/>
        </w:tabs>
        <w:spacing w:line="249" w:lineRule="auto" w:before="1" w:after="0"/>
        <w:ind w:left="935" w:right="1103" w:firstLine="340"/>
        <w:jc w:val="both"/>
        <w:rPr>
          <w:sz w:val="20"/>
        </w:rPr>
      </w:pPr>
      <w:r>
        <w:rPr>
          <w:sz w:val="20"/>
        </w:rPr>
        <w:t>El Instituto de España y las Reales Academias integradas en el mismo, así como las instituciones de las Comunidades Autónomas que tengan fines análogos a los de la Real Academia Española.</w:t>
      </w:r>
    </w:p>
    <w:p>
      <w:pPr>
        <w:pStyle w:val="ListParagraph"/>
        <w:numPr>
          <w:ilvl w:val="1"/>
          <w:numId w:val="19"/>
        </w:numPr>
        <w:tabs>
          <w:tab w:pos="1452" w:val="left" w:leader="none"/>
        </w:tabs>
        <w:spacing w:line="240" w:lineRule="auto" w:before="3" w:after="0"/>
        <w:ind w:left="1452" w:right="0" w:hanging="177"/>
        <w:jc w:val="both"/>
        <w:rPr>
          <w:sz w:val="20"/>
        </w:rPr>
      </w:pPr>
      <w:r>
        <w:rPr>
          <w:sz w:val="20"/>
        </w:rPr>
        <w:t>La</w:t>
      </w:r>
      <w:r>
        <w:rPr>
          <w:spacing w:val="-4"/>
          <w:sz w:val="20"/>
        </w:rPr>
        <w:t> </w:t>
      </w:r>
      <w:r>
        <w:rPr>
          <w:sz w:val="20"/>
        </w:rPr>
        <w:t>Cruz</w:t>
      </w:r>
      <w:r>
        <w:rPr>
          <w:spacing w:val="-3"/>
          <w:sz w:val="20"/>
        </w:rPr>
        <w:t> </w:t>
      </w:r>
      <w:r>
        <w:rPr>
          <w:sz w:val="20"/>
        </w:rPr>
        <w:t>Roja</w:t>
      </w:r>
      <w:r>
        <w:rPr>
          <w:spacing w:val="-3"/>
          <w:sz w:val="20"/>
        </w:rPr>
        <w:t> </w:t>
      </w:r>
      <w:r>
        <w:rPr>
          <w:sz w:val="20"/>
        </w:rPr>
        <w:t>Española</w:t>
      </w:r>
      <w:r>
        <w:rPr>
          <w:spacing w:val="-3"/>
          <w:sz w:val="20"/>
        </w:rPr>
        <w:t> </w:t>
      </w:r>
      <w:r>
        <w:rPr>
          <w:sz w:val="20"/>
        </w:rPr>
        <w:t>y</w:t>
      </w:r>
      <w:r>
        <w:rPr>
          <w:spacing w:val="-3"/>
          <w:sz w:val="20"/>
        </w:rPr>
        <w:t> </w:t>
      </w:r>
      <w:r>
        <w:rPr>
          <w:sz w:val="20"/>
        </w:rPr>
        <w:t>la</w:t>
      </w:r>
      <w:r>
        <w:rPr>
          <w:spacing w:val="-3"/>
          <w:sz w:val="20"/>
        </w:rPr>
        <w:t> </w:t>
      </w:r>
      <w:r>
        <w:rPr>
          <w:sz w:val="20"/>
        </w:rPr>
        <w:t>Organización</w:t>
      </w:r>
      <w:r>
        <w:rPr>
          <w:spacing w:val="-3"/>
          <w:sz w:val="20"/>
        </w:rPr>
        <w:t> </w:t>
      </w:r>
      <w:r>
        <w:rPr>
          <w:sz w:val="20"/>
        </w:rPr>
        <w:t>Nacional</w:t>
      </w:r>
      <w:r>
        <w:rPr>
          <w:spacing w:val="-3"/>
          <w:sz w:val="20"/>
        </w:rPr>
        <w:t> </w:t>
      </w:r>
      <w:r>
        <w:rPr>
          <w:sz w:val="20"/>
        </w:rPr>
        <w:t>de</w:t>
      </w:r>
      <w:r>
        <w:rPr>
          <w:spacing w:val="-3"/>
          <w:sz w:val="20"/>
        </w:rPr>
        <w:t> </w:t>
      </w:r>
      <w:r>
        <w:rPr>
          <w:sz w:val="20"/>
        </w:rPr>
        <w:t>Ciegos</w:t>
      </w:r>
      <w:r>
        <w:rPr>
          <w:spacing w:val="-3"/>
          <w:sz w:val="20"/>
        </w:rPr>
        <w:t> </w:t>
      </w:r>
      <w:r>
        <w:rPr>
          <w:spacing w:val="-2"/>
          <w:sz w:val="20"/>
        </w:rPr>
        <w:t>Españoles.</w:t>
      </w:r>
    </w:p>
    <w:p>
      <w:pPr>
        <w:pStyle w:val="ListParagraph"/>
        <w:numPr>
          <w:ilvl w:val="1"/>
          <w:numId w:val="19"/>
        </w:numPr>
        <w:tabs>
          <w:tab w:pos="1508" w:val="left" w:leader="none"/>
        </w:tabs>
        <w:spacing w:line="240" w:lineRule="auto" w:before="10" w:after="0"/>
        <w:ind w:left="1508" w:right="0" w:hanging="233"/>
        <w:jc w:val="both"/>
        <w:rPr>
          <w:sz w:val="20"/>
        </w:rPr>
      </w:pPr>
      <w:r>
        <w:rPr>
          <w:sz w:val="20"/>
        </w:rPr>
        <w:t>La</w:t>
      </w:r>
      <w:r>
        <w:rPr>
          <w:spacing w:val="-2"/>
          <w:sz w:val="20"/>
        </w:rPr>
        <w:t> </w:t>
      </w:r>
      <w:r>
        <w:rPr>
          <w:sz w:val="20"/>
        </w:rPr>
        <w:t>Obra</w:t>
      </w:r>
      <w:r>
        <w:rPr>
          <w:spacing w:val="-1"/>
          <w:sz w:val="20"/>
        </w:rPr>
        <w:t> </w:t>
      </w:r>
      <w:r>
        <w:rPr>
          <w:sz w:val="20"/>
        </w:rPr>
        <w:t>Pía</w:t>
      </w:r>
      <w:r>
        <w:rPr>
          <w:spacing w:val="-1"/>
          <w:sz w:val="20"/>
        </w:rPr>
        <w:t> </w:t>
      </w:r>
      <w:r>
        <w:rPr>
          <w:sz w:val="20"/>
        </w:rPr>
        <w:t>de</w:t>
      </w:r>
      <w:r>
        <w:rPr>
          <w:spacing w:val="-1"/>
          <w:sz w:val="20"/>
        </w:rPr>
        <w:t> </w:t>
      </w:r>
      <w:r>
        <w:rPr>
          <w:sz w:val="20"/>
        </w:rPr>
        <w:t>los</w:t>
      </w:r>
      <w:r>
        <w:rPr>
          <w:spacing w:val="-1"/>
          <w:sz w:val="20"/>
        </w:rPr>
        <w:t> </w:t>
      </w:r>
      <w:r>
        <w:rPr>
          <w:sz w:val="20"/>
        </w:rPr>
        <w:t>Santos</w:t>
      </w:r>
      <w:r>
        <w:rPr>
          <w:spacing w:val="-1"/>
          <w:sz w:val="20"/>
        </w:rPr>
        <w:t> </w:t>
      </w:r>
      <w:r>
        <w:rPr>
          <w:spacing w:val="-2"/>
          <w:sz w:val="20"/>
        </w:rPr>
        <w:t>Lugares.»</w:t>
      </w:r>
    </w:p>
    <w:p>
      <w:pPr>
        <w:pStyle w:val="BodyText"/>
        <w:spacing w:before="6"/>
        <w:ind w:left="0" w:firstLine="0"/>
        <w:jc w:val="left"/>
      </w:pPr>
    </w:p>
    <w:p>
      <w:pPr>
        <w:spacing w:line="249" w:lineRule="auto" w:before="1"/>
        <w:ind w:left="255" w:right="1105" w:hanging="1"/>
        <w:jc w:val="both"/>
        <w:rPr>
          <w:i/>
          <w:sz w:val="20"/>
        </w:rPr>
      </w:pPr>
      <w:bookmarkStart w:name="Disposición adicional cuarta. Régimen fi" w:id="83"/>
      <w:bookmarkEnd w:id="83"/>
      <w:r>
        <w:rPr/>
      </w:r>
      <w:bookmarkStart w:name="_bookmark40" w:id="84"/>
      <w:bookmarkEnd w:id="84"/>
      <w:r>
        <w:rPr/>
      </w:r>
      <w:r>
        <w:rPr>
          <w:b/>
          <w:sz w:val="20"/>
        </w:rPr>
        <w:t>Disposición adicional cuarta.</w:t>
      </w:r>
      <w:r>
        <w:rPr>
          <w:b/>
          <w:spacing w:val="40"/>
          <w:sz w:val="20"/>
        </w:rPr>
        <w:t> </w:t>
      </w:r>
      <w:r>
        <w:rPr>
          <w:i/>
          <w:sz w:val="20"/>
        </w:rPr>
        <w:t>Régimen fiscal de los bienes integrantes del Patrimonio Histórico de las Comunidades Autónomas.</w:t>
      </w:r>
    </w:p>
    <w:p>
      <w:pPr>
        <w:pStyle w:val="BodyText"/>
        <w:spacing w:line="249" w:lineRule="auto" w:before="115"/>
        <w:ind w:right="1103"/>
      </w:pPr>
      <w:r>
        <w:rPr/>
        <w:t>El régimen establecido en esta Ley referente a los bienes integrantes del Patrimonio Histórico</w:t>
      </w:r>
      <w:r>
        <w:rPr>
          <w:spacing w:val="-1"/>
        </w:rPr>
        <w:t> </w:t>
      </w:r>
      <w:r>
        <w:rPr/>
        <w:t>Español,</w:t>
      </w:r>
      <w:r>
        <w:rPr>
          <w:spacing w:val="-1"/>
        </w:rPr>
        <w:t> </w:t>
      </w:r>
      <w:r>
        <w:rPr/>
        <w:t>inscritos</w:t>
      </w:r>
      <w:r>
        <w:rPr>
          <w:spacing w:val="-1"/>
        </w:rPr>
        <w:t> </w:t>
      </w:r>
      <w:r>
        <w:rPr/>
        <w:t>en</w:t>
      </w:r>
      <w:r>
        <w:rPr>
          <w:spacing w:val="-1"/>
        </w:rPr>
        <w:t> </w:t>
      </w:r>
      <w:r>
        <w:rPr/>
        <w:t>el</w:t>
      </w:r>
      <w:r>
        <w:rPr>
          <w:spacing w:val="-1"/>
        </w:rPr>
        <w:t> </w:t>
      </w:r>
      <w:r>
        <w:rPr/>
        <w:t>Registro</w:t>
      </w:r>
      <w:r>
        <w:rPr>
          <w:spacing w:val="-1"/>
        </w:rPr>
        <w:t> </w:t>
      </w:r>
      <w:r>
        <w:rPr/>
        <w:t>general</w:t>
      </w:r>
      <w:r>
        <w:rPr>
          <w:spacing w:val="-1"/>
        </w:rPr>
        <w:t> </w:t>
      </w:r>
      <w:r>
        <w:rPr/>
        <w:t>de</w:t>
      </w:r>
      <w:r>
        <w:rPr>
          <w:spacing w:val="-1"/>
        </w:rPr>
        <w:t> </w:t>
      </w:r>
      <w:r>
        <w:rPr/>
        <w:t>bienes</w:t>
      </w:r>
      <w:r>
        <w:rPr>
          <w:spacing w:val="-1"/>
        </w:rPr>
        <w:t> </w:t>
      </w:r>
      <w:r>
        <w:rPr/>
        <w:t>de</w:t>
      </w:r>
      <w:r>
        <w:rPr>
          <w:spacing w:val="-1"/>
        </w:rPr>
        <w:t> </w:t>
      </w:r>
      <w:r>
        <w:rPr/>
        <w:t>interés</w:t>
      </w:r>
      <w:r>
        <w:rPr>
          <w:spacing w:val="-1"/>
        </w:rPr>
        <w:t> </w:t>
      </w:r>
      <w:r>
        <w:rPr/>
        <w:t>cultural</w:t>
      </w:r>
      <w:r>
        <w:rPr>
          <w:spacing w:val="-1"/>
        </w:rPr>
        <w:t> </w:t>
      </w:r>
      <w:r>
        <w:rPr/>
        <w:t>o</w:t>
      </w:r>
      <w:r>
        <w:rPr>
          <w:spacing w:val="-1"/>
        </w:rPr>
        <w:t> </w:t>
      </w:r>
      <w:r>
        <w:rPr/>
        <w:t>incluidos</w:t>
      </w:r>
      <w:r>
        <w:rPr>
          <w:spacing w:val="-1"/>
        </w:rPr>
        <w:t> </w:t>
      </w:r>
      <w:r>
        <w:rPr/>
        <w:t>en el Inventario general a que se refiere la Ley 16/1985, de 25 de junio, del Patrimonio Histórico Español, se aplicará a los bienes culturales declarados o inscritos por las Comunidades Autónomas, de acuerdo con lo establecido en sus normas reguladoras.</w:t>
      </w:r>
    </w:p>
    <w:p>
      <w:pPr>
        <w:pStyle w:val="BodyText"/>
        <w:spacing w:line="249" w:lineRule="auto" w:before="4"/>
        <w:ind w:right="1103"/>
      </w:pPr>
      <w:r>
        <w:rPr/>
        <w:t>A los efectos de lo dispuesto en el artículo 18 de esta Ley y en el artículo 73 de la Ley 16/1985, de 25 de junio, del Patrimonio Histórico Español, la valoración de tales bienes por las Comunidades Autónomas se realizará por sus órganos competentes según las respectivas normas reguladoras. Asimismo, la valoración se realizará por los mismos órganos cuando la donataria sea una Comunidad Autónoma.</w:t>
      </w:r>
    </w:p>
    <w:p>
      <w:pPr>
        <w:pStyle w:val="BodyText"/>
        <w:spacing w:before="0"/>
        <w:ind w:left="0" w:firstLine="0"/>
        <w:jc w:val="left"/>
      </w:pPr>
    </w:p>
    <w:p>
      <w:pPr>
        <w:spacing w:line="249" w:lineRule="auto" w:before="1"/>
        <w:ind w:left="255" w:right="1105" w:hanging="1"/>
        <w:jc w:val="both"/>
        <w:rPr>
          <w:i/>
          <w:sz w:val="20"/>
        </w:rPr>
      </w:pPr>
      <w:bookmarkStart w:name="Disposición adicional quinta. Régimen tr" w:id="85"/>
      <w:bookmarkEnd w:id="85"/>
      <w:r>
        <w:rPr/>
      </w:r>
      <w:bookmarkStart w:name="_bookmark41" w:id="86"/>
      <w:bookmarkEnd w:id="86"/>
      <w:r>
        <w:rPr/>
      </w:r>
      <w:r>
        <w:rPr>
          <w:b/>
          <w:sz w:val="20"/>
        </w:rPr>
        <w:t>Disposición adicional quinta.</w:t>
      </w:r>
      <w:r>
        <w:rPr>
          <w:b/>
          <w:spacing w:val="40"/>
          <w:sz w:val="20"/>
        </w:rPr>
        <w:t> </w:t>
      </w:r>
      <w:r>
        <w:rPr>
          <w:i/>
          <w:sz w:val="20"/>
        </w:rPr>
        <w:t>Régimen tributario de la Cruz Roja Española y de la Organización Nacional de Ciegos Españoles.</w:t>
      </w:r>
    </w:p>
    <w:p>
      <w:pPr>
        <w:pStyle w:val="BodyText"/>
        <w:spacing w:line="249" w:lineRule="auto" w:before="115"/>
        <w:ind w:right="1104"/>
      </w:pPr>
      <w:r>
        <w:rPr/>
        <w:t>El régimen previsto en los artículos 5 a 15, ambos inclusive, de esta Ley será de aplicación a la Cruz Roja Española y a la Organización Nacional de Ciegos Españoles, siempre que cumplan el requisito establecido en el penúltimo párrafo del número 5.º del artículo 3 de esta Ley, conservando su vigencia las exenciones concedidas con anterioridad a su entrada en vigor.</w:t>
      </w:r>
    </w:p>
    <w:p>
      <w:pPr>
        <w:pStyle w:val="BodyText"/>
        <w:spacing w:line="249" w:lineRule="auto" w:before="4"/>
        <w:ind w:right="1105"/>
      </w:pPr>
      <w:r>
        <w:rPr/>
        <w:t>Estas entidades serán consideradas como entidades beneficiarias del mecenazgo a los efectos previstos en los artículos 16 a 25, ambos inclusive, de esta Ley.</w:t>
      </w:r>
    </w:p>
    <w:p>
      <w:pPr>
        <w:pStyle w:val="BodyText"/>
        <w:spacing w:line="249" w:lineRule="auto" w:before="1"/>
        <w:ind w:right="1105"/>
      </w:pPr>
      <w:r>
        <w:rPr/>
        <w:t>Tendrá la consideración de explotación económica exenta, a los efectos de lo dispuesto en el artículo 7 de esta Ley, la comercialización por la Organización Nacional de Ciegos Españoles de cualquier tipo de juego autorizado por el Gobierno de la Nación, de conformidad con el régimen jurídico previsto en la disposición adicional cuarta de la Ley 55/1999, de 29 de diciembre, de Medidas fiscales, administrativas y del orden social.</w:t>
      </w:r>
    </w:p>
    <w:p>
      <w:pPr>
        <w:pStyle w:val="BodyText"/>
        <w:spacing w:before="1"/>
        <w:ind w:left="0" w:firstLine="0"/>
        <w:jc w:val="left"/>
      </w:pPr>
    </w:p>
    <w:p>
      <w:pPr>
        <w:spacing w:before="0"/>
        <w:ind w:left="255" w:right="0" w:firstLine="0"/>
        <w:jc w:val="both"/>
        <w:rPr>
          <w:i/>
          <w:sz w:val="20"/>
        </w:rPr>
      </w:pPr>
      <w:bookmarkStart w:name="Disposición adicional sexta. Régimen tri" w:id="87"/>
      <w:bookmarkEnd w:id="87"/>
      <w:r>
        <w:rPr/>
      </w:r>
      <w:bookmarkStart w:name="_bookmark42" w:id="88"/>
      <w:bookmarkEnd w:id="88"/>
      <w:r>
        <w:rPr/>
      </w:r>
      <w:r>
        <w:rPr>
          <w:b/>
          <w:sz w:val="20"/>
        </w:rPr>
        <w:t>Disposición</w:t>
      </w:r>
      <w:r>
        <w:rPr>
          <w:b/>
          <w:spacing w:val="-2"/>
          <w:sz w:val="20"/>
        </w:rPr>
        <w:t> </w:t>
      </w:r>
      <w:r>
        <w:rPr>
          <w:b/>
          <w:sz w:val="20"/>
        </w:rPr>
        <w:t>adicional</w:t>
      </w:r>
      <w:r>
        <w:rPr>
          <w:b/>
          <w:spacing w:val="-2"/>
          <w:sz w:val="20"/>
        </w:rPr>
        <w:t> </w:t>
      </w:r>
      <w:r>
        <w:rPr>
          <w:b/>
          <w:sz w:val="20"/>
        </w:rPr>
        <w:t>sexta.</w:t>
      </w:r>
      <w:r>
        <w:rPr>
          <w:b/>
          <w:spacing w:val="50"/>
          <w:sz w:val="20"/>
        </w:rPr>
        <w:t> </w:t>
      </w:r>
      <w:r>
        <w:rPr>
          <w:i/>
          <w:sz w:val="20"/>
        </w:rPr>
        <w:t>Régimen</w:t>
      </w:r>
      <w:r>
        <w:rPr>
          <w:i/>
          <w:spacing w:val="-1"/>
          <w:sz w:val="20"/>
        </w:rPr>
        <w:t> </w:t>
      </w:r>
      <w:r>
        <w:rPr>
          <w:i/>
          <w:sz w:val="20"/>
        </w:rPr>
        <w:t>tributario</w:t>
      </w:r>
      <w:r>
        <w:rPr>
          <w:i/>
          <w:spacing w:val="-2"/>
          <w:sz w:val="20"/>
        </w:rPr>
        <w:t> </w:t>
      </w:r>
      <w:r>
        <w:rPr>
          <w:i/>
          <w:sz w:val="20"/>
        </w:rPr>
        <w:t>de</w:t>
      </w:r>
      <w:r>
        <w:rPr>
          <w:i/>
          <w:spacing w:val="-2"/>
          <w:sz w:val="20"/>
        </w:rPr>
        <w:t> </w:t>
      </w:r>
      <w:r>
        <w:rPr>
          <w:i/>
          <w:sz w:val="20"/>
        </w:rPr>
        <w:t>la</w:t>
      </w:r>
      <w:r>
        <w:rPr>
          <w:i/>
          <w:spacing w:val="-2"/>
          <w:sz w:val="20"/>
        </w:rPr>
        <w:t> </w:t>
      </w:r>
      <w:r>
        <w:rPr>
          <w:i/>
          <w:sz w:val="20"/>
        </w:rPr>
        <w:t>Obra</w:t>
      </w:r>
      <w:r>
        <w:rPr>
          <w:i/>
          <w:spacing w:val="-1"/>
          <w:sz w:val="20"/>
        </w:rPr>
        <w:t> </w:t>
      </w:r>
      <w:r>
        <w:rPr>
          <w:i/>
          <w:sz w:val="20"/>
        </w:rPr>
        <w:t>Pía</w:t>
      </w:r>
      <w:r>
        <w:rPr>
          <w:i/>
          <w:spacing w:val="-2"/>
          <w:sz w:val="20"/>
        </w:rPr>
        <w:t> </w:t>
      </w:r>
      <w:r>
        <w:rPr>
          <w:i/>
          <w:sz w:val="20"/>
        </w:rPr>
        <w:t>de</w:t>
      </w:r>
      <w:r>
        <w:rPr>
          <w:i/>
          <w:spacing w:val="-2"/>
          <w:sz w:val="20"/>
        </w:rPr>
        <w:t> </w:t>
      </w:r>
      <w:r>
        <w:rPr>
          <w:i/>
          <w:sz w:val="20"/>
        </w:rPr>
        <w:t>los</w:t>
      </w:r>
      <w:r>
        <w:rPr>
          <w:i/>
          <w:spacing w:val="-2"/>
          <w:sz w:val="20"/>
        </w:rPr>
        <w:t> </w:t>
      </w:r>
      <w:r>
        <w:rPr>
          <w:i/>
          <w:sz w:val="20"/>
        </w:rPr>
        <w:t>Santos</w:t>
      </w:r>
      <w:r>
        <w:rPr>
          <w:i/>
          <w:spacing w:val="-1"/>
          <w:sz w:val="20"/>
        </w:rPr>
        <w:t> </w:t>
      </w:r>
      <w:r>
        <w:rPr>
          <w:i/>
          <w:spacing w:val="-2"/>
          <w:sz w:val="20"/>
        </w:rPr>
        <w:t>Lugares.</w:t>
      </w:r>
    </w:p>
    <w:p>
      <w:pPr>
        <w:pStyle w:val="BodyText"/>
        <w:spacing w:line="249" w:lineRule="auto" w:before="124"/>
        <w:ind w:right="1104"/>
      </w:pPr>
      <w:r>
        <w:rPr/>
        <w:t>El régimen previsto en los artículos 5 a 15, ambos inclusive, de esta Ley será de aplicación a la Obra Pía de los Santos Lugares, siempre que cumpla el requisito establecido en el número 5.º del artículo 3 de esta Ley.</w:t>
      </w:r>
    </w:p>
    <w:p>
      <w:pPr>
        <w:pStyle w:val="BodyText"/>
        <w:spacing w:line="249" w:lineRule="auto"/>
        <w:ind w:right="1105"/>
      </w:pPr>
      <w:r>
        <w:rPr/>
        <w:t>La Obra Pía será considerada como entidad beneficiaria del mecenazgo a los efectos previstos en los artículos 16 a 25, ambos inclusive, de esta Ley.</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spacing w:line="249" w:lineRule="auto" w:before="1"/>
        <w:ind w:left="255" w:right="1104" w:hanging="1"/>
        <w:jc w:val="both"/>
        <w:rPr>
          <w:i/>
          <w:sz w:val="20"/>
        </w:rPr>
      </w:pPr>
      <w:bookmarkStart w:name="Disposición adicional séptima. Régimen t" w:id="89"/>
      <w:bookmarkEnd w:id="89"/>
      <w:r>
        <w:rPr/>
      </w:r>
      <w:bookmarkStart w:name="_bookmark43" w:id="90"/>
      <w:bookmarkEnd w:id="90"/>
      <w:r>
        <w:rPr/>
      </w:r>
      <w:r>
        <w:rPr>
          <w:b/>
          <w:sz w:val="20"/>
        </w:rPr>
        <w:t>Disposición adicional séptima.</w:t>
      </w:r>
      <w:r>
        <w:rPr>
          <w:b/>
          <w:spacing w:val="40"/>
          <w:sz w:val="20"/>
        </w:rPr>
        <w:t> </w:t>
      </w:r>
      <w:r>
        <w:rPr>
          <w:i/>
          <w:sz w:val="20"/>
        </w:rPr>
        <w:t>Régimen tributario de los consorcios Casa de América, Casa</w:t>
      </w:r>
      <w:r>
        <w:rPr>
          <w:i/>
          <w:spacing w:val="-1"/>
          <w:sz w:val="20"/>
        </w:rPr>
        <w:t> </w:t>
      </w:r>
      <w:r>
        <w:rPr>
          <w:i/>
          <w:sz w:val="20"/>
        </w:rPr>
        <w:t>de</w:t>
      </w:r>
      <w:r>
        <w:rPr>
          <w:i/>
          <w:spacing w:val="-1"/>
          <w:sz w:val="20"/>
        </w:rPr>
        <w:t> </w:t>
      </w:r>
      <w:r>
        <w:rPr>
          <w:i/>
          <w:sz w:val="20"/>
        </w:rPr>
        <w:t>Asia,</w:t>
      </w:r>
      <w:r>
        <w:rPr>
          <w:i/>
          <w:spacing w:val="-1"/>
          <w:sz w:val="20"/>
        </w:rPr>
        <w:t> </w:t>
      </w:r>
      <w:r>
        <w:rPr>
          <w:i/>
          <w:sz w:val="20"/>
        </w:rPr>
        <w:t>"Institut</w:t>
      </w:r>
      <w:r>
        <w:rPr>
          <w:i/>
          <w:spacing w:val="-1"/>
          <w:sz w:val="20"/>
        </w:rPr>
        <w:t> </w:t>
      </w:r>
      <w:r>
        <w:rPr>
          <w:i/>
          <w:sz w:val="20"/>
        </w:rPr>
        <w:t>Europeu</w:t>
      </w:r>
      <w:r>
        <w:rPr>
          <w:i/>
          <w:spacing w:val="-1"/>
          <w:sz w:val="20"/>
        </w:rPr>
        <w:t> </w:t>
      </w:r>
      <w:r>
        <w:rPr>
          <w:i/>
          <w:sz w:val="20"/>
        </w:rPr>
        <w:t>de</w:t>
      </w:r>
      <w:r>
        <w:rPr>
          <w:i/>
          <w:spacing w:val="-1"/>
          <w:sz w:val="20"/>
        </w:rPr>
        <w:t> </w:t>
      </w:r>
      <w:r>
        <w:rPr>
          <w:i/>
          <w:sz w:val="20"/>
        </w:rPr>
        <w:t>la</w:t>
      </w:r>
      <w:r>
        <w:rPr>
          <w:i/>
          <w:spacing w:val="-1"/>
          <w:sz w:val="20"/>
        </w:rPr>
        <w:t> </w:t>
      </w:r>
      <w:r>
        <w:rPr>
          <w:i/>
          <w:sz w:val="20"/>
        </w:rPr>
        <w:t>Mediterrània"</w:t>
      </w:r>
      <w:r>
        <w:rPr>
          <w:i/>
          <w:spacing w:val="-1"/>
          <w:sz w:val="20"/>
        </w:rPr>
        <w:t> </w:t>
      </w:r>
      <w:r>
        <w:rPr>
          <w:i/>
          <w:sz w:val="20"/>
        </w:rPr>
        <w:t>y</w:t>
      </w:r>
      <w:r>
        <w:rPr>
          <w:i/>
          <w:spacing w:val="-1"/>
          <w:sz w:val="20"/>
        </w:rPr>
        <w:t> </w:t>
      </w:r>
      <w:r>
        <w:rPr>
          <w:i/>
          <w:sz w:val="20"/>
        </w:rPr>
        <w:t>el</w:t>
      </w:r>
      <w:r>
        <w:rPr>
          <w:i/>
          <w:spacing w:val="-1"/>
          <w:sz w:val="20"/>
        </w:rPr>
        <w:t> </w:t>
      </w:r>
      <w:r>
        <w:rPr>
          <w:i/>
          <w:sz w:val="20"/>
        </w:rPr>
        <w:t>Museo</w:t>
      </w:r>
      <w:r>
        <w:rPr>
          <w:i/>
          <w:spacing w:val="-1"/>
          <w:sz w:val="20"/>
        </w:rPr>
        <w:t> </w:t>
      </w:r>
      <w:r>
        <w:rPr>
          <w:i/>
          <w:sz w:val="20"/>
        </w:rPr>
        <w:t>Nacional</w:t>
      </w:r>
      <w:r>
        <w:rPr>
          <w:i/>
          <w:spacing w:val="-1"/>
          <w:sz w:val="20"/>
        </w:rPr>
        <w:t> </w:t>
      </w:r>
      <w:r>
        <w:rPr>
          <w:i/>
          <w:sz w:val="20"/>
        </w:rPr>
        <w:t>de</w:t>
      </w:r>
      <w:r>
        <w:rPr>
          <w:i/>
          <w:spacing w:val="-1"/>
          <w:sz w:val="20"/>
        </w:rPr>
        <w:t> </w:t>
      </w:r>
      <w:r>
        <w:rPr>
          <w:i/>
          <w:sz w:val="20"/>
        </w:rPr>
        <w:t>Arte</w:t>
      </w:r>
      <w:r>
        <w:rPr>
          <w:i/>
          <w:spacing w:val="-1"/>
          <w:sz w:val="20"/>
        </w:rPr>
        <w:t> </w:t>
      </w:r>
      <w:r>
        <w:rPr>
          <w:i/>
          <w:sz w:val="20"/>
        </w:rPr>
        <w:t>de</w:t>
      </w:r>
      <w:r>
        <w:rPr>
          <w:i/>
          <w:spacing w:val="-1"/>
          <w:sz w:val="20"/>
        </w:rPr>
        <w:t> </w:t>
      </w:r>
      <w:r>
        <w:rPr>
          <w:i/>
          <w:sz w:val="20"/>
        </w:rPr>
        <w:t>Cataluña.</w:t>
      </w:r>
    </w:p>
    <w:p>
      <w:pPr>
        <w:pStyle w:val="BodyText"/>
        <w:spacing w:line="249" w:lineRule="auto" w:before="115"/>
        <w:ind w:right="1102"/>
      </w:pPr>
      <w:r>
        <w:rPr/>
        <w:t>Los consorcios Casa de América, Casa de Asia, "Institut Europeu de la Casa de la Mediterrània" y el Museo Nacional de Arte de Cataluña serán considerados entidades beneficiarias del mecenazgo a los efectos previstos en los artículos 16 a 25, ambos</w:t>
      </w:r>
      <w:r>
        <w:rPr>
          <w:spacing w:val="80"/>
        </w:rPr>
        <w:t> </w:t>
      </w:r>
      <w:r>
        <w:rPr/>
        <w:t>inclusive, de esta ley.</w:t>
      </w:r>
    </w:p>
    <w:p>
      <w:pPr>
        <w:pStyle w:val="BodyText"/>
        <w:spacing w:before="0"/>
        <w:ind w:left="0" w:firstLine="0"/>
        <w:jc w:val="left"/>
      </w:pPr>
    </w:p>
    <w:p>
      <w:pPr>
        <w:spacing w:before="0"/>
        <w:ind w:left="255" w:right="0" w:firstLine="0"/>
        <w:jc w:val="both"/>
        <w:rPr>
          <w:i/>
          <w:sz w:val="20"/>
        </w:rPr>
      </w:pPr>
      <w:bookmarkStart w:name="Disposición adicional octava. Fundacione" w:id="91"/>
      <w:bookmarkEnd w:id="91"/>
      <w:r>
        <w:rPr/>
      </w:r>
      <w:bookmarkStart w:name="_bookmark44" w:id="92"/>
      <w:bookmarkEnd w:id="92"/>
      <w:r>
        <w:rPr/>
      </w:r>
      <w:r>
        <w:rPr>
          <w:b/>
          <w:sz w:val="20"/>
        </w:rPr>
        <w:t>Disposición</w:t>
      </w:r>
      <w:r>
        <w:rPr>
          <w:b/>
          <w:spacing w:val="-1"/>
          <w:sz w:val="20"/>
        </w:rPr>
        <w:t> </w:t>
      </w:r>
      <w:r>
        <w:rPr>
          <w:b/>
          <w:sz w:val="20"/>
        </w:rPr>
        <w:t>adicional octava.</w:t>
      </w:r>
      <w:r>
        <w:rPr>
          <w:b/>
          <w:spacing w:val="54"/>
          <w:sz w:val="20"/>
        </w:rPr>
        <w:t> </w:t>
      </w:r>
      <w:r>
        <w:rPr>
          <w:i/>
          <w:sz w:val="20"/>
        </w:rPr>
        <w:t>Fundaciones de entidades </w:t>
      </w:r>
      <w:r>
        <w:rPr>
          <w:i/>
          <w:spacing w:val="-2"/>
          <w:sz w:val="20"/>
        </w:rPr>
        <w:t>religiosas.</w:t>
      </w:r>
    </w:p>
    <w:p>
      <w:pPr>
        <w:pStyle w:val="BodyText"/>
        <w:spacing w:line="249" w:lineRule="auto" w:before="123"/>
        <w:ind w:right="1102"/>
      </w:pPr>
      <w:r>
        <w:rPr/>
        <w:t>Lo dispuesto en esta Ley se entiende sin perjuicio de lo establecido en los acuerdos con la Iglesia Católica y en los acuerdos y convenios de cooperación suscritos por el Estado con las iglesias, confesiones y comunidades religiosas, así como en las normas dictadas para su aplicación,</w:t>
      </w:r>
      <w:r>
        <w:rPr>
          <w:spacing w:val="-2"/>
        </w:rPr>
        <w:t> </w:t>
      </w:r>
      <w:r>
        <w:rPr/>
        <w:t>para</w:t>
      </w:r>
      <w:r>
        <w:rPr>
          <w:spacing w:val="-2"/>
        </w:rPr>
        <w:t> </w:t>
      </w:r>
      <w:r>
        <w:rPr/>
        <w:t>las</w:t>
      </w:r>
      <w:r>
        <w:rPr>
          <w:spacing w:val="-2"/>
        </w:rPr>
        <w:t> </w:t>
      </w:r>
      <w:r>
        <w:rPr/>
        <w:t>fundaciones</w:t>
      </w:r>
      <w:r>
        <w:rPr>
          <w:spacing w:val="-2"/>
        </w:rPr>
        <w:t> </w:t>
      </w:r>
      <w:r>
        <w:rPr/>
        <w:t>propias</w:t>
      </w:r>
      <w:r>
        <w:rPr>
          <w:spacing w:val="-2"/>
        </w:rPr>
        <w:t> </w:t>
      </w:r>
      <w:r>
        <w:rPr/>
        <w:t>de</w:t>
      </w:r>
      <w:r>
        <w:rPr>
          <w:spacing w:val="-2"/>
        </w:rPr>
        <w:t> </w:t>
      </w:r>
      <w:r>
        <w:rPr/>
        <w:t>estas</w:t>
      </w:r>
      <w:r>
        <w:rPr>
          <w:spacing w:val="-2"/>
        </w:rPr>
        <w:t> </w:t>
      </w:r>
      <w:r>
        <w:rPr/>
        <w:t>entidades,</w:t>
      </w:r>
      <w:r>
        <w:rPr>
          <w:spacing w:val="-2"/>
        </w:rPr>
        <w:t> </w:t>
      </w:r>
      <w:r>
        <w:rPr/>
        <w:t>que</w:t>
      </w:r>
      <w:r>
        <w:rPr>
          <w:spacing w:val="-2"/>
        </w:rPr>
        <w:t> </w:t>
      </w:r>
      <w:r>
        <w:rPr/>
        <w:t>podrán</w:t>
      </w:r>
      <w:r>
        <w:rPr>
          <w:spacing w:val="-2"/>
        </w:rPr>
        <w:t> </w:t>
      </w:r>
      <w:r>
        <w:rPr/>
        <w:t>optar</w:t>
      </w:r>
      <w:r>
        <w:rPr>
          <w:spacing w:val="-2"/>
        </w:rPr>
        <w:t> </w:t>
      </w:r>
      <w:r>
        <w:rPr/>
        <w:t>por</w:t>
      </w:r>
      <w:r>
        <w:rPr>
          <w:spacing w:val="-2"/>
        </w:rPr>
        <w:t> </w:t>
      </w:r>
      <w:r>
        <w:rPr/>
        <w:t>el</w:t>
      </w:r>
      <w:r>
        <w:rPr>
          <w:spacing w:val="-2"/>
        </w:rPr>
        <w:t> </w:t>
      </w:r>
      <w:r>
        <w:rPr/>
        <w:t>régimen fiscal establecido en los artículos 5 a 25 de esta Ley, siempre que en este último caso presenten</w:t>
      </w:r>
      <w:r>
        <w:rPr>
          <w:spacing w:val="-2"/>
        </w:rPr>
        <w:t> </w:t>
      </w:r>
      <w:r>
        <w:rPr/>
        <w:t>la</w:t>
      </w:r>
      <w:r>
        <w:rPr>
          <w:spacing w:val="-2"/>
        </w:rPr>
        <w:t> </w:t>
      </w:r>
      <w:r>
        <w:rPr/>
        <w:t>certificación</w:t>
      </w:r>
      <w:r>
        <w:rPr>
          <w:spacing w:val="-2"/>
        </w:rPr>
        <w:t> </w:t>
      </w:r>
      <w:r>
        <w:rPr/>
        <w:t>de</w:t>
      </w:r>
      <w:r>
        <w:rPr>
          <w:spacing w:val="-2"/>
        </w:rPr>
        <w:t> </w:t>
      </w:r>
      <w:r>
        <w:rPr/>
        <w:t>su</w:t>
      </w:r>
      <w:r>
        <w:rPr>
          <w:spacing w:val="-2"/>
        </w:rPr>
        <w:t> </w:t>
      </w:r>
      <w:r>
        <w:rPr/>
        <w:t>inscripción</w:t>
      </w:r>
      <w:r>
        <w:rPr>
          <w:spacing w:val="-2"/>
        </w:rPr>
        <w:t> </w:t>
      </w:r>
      <w:r>
        <w:rPr/>
        <w:t>en</w:t>
      </w:r>
      <w:r>
        <w:rPr>
          <w:spacing w:val="-2"/>
        </w:rPr>
        <w:t> </w:t>
      </w:r>
      <w:r>
        <w:rPr/>
        <w:t>el</w:t>
      </w:r>
      <w:r>
        <w:rPr>
          <w:spacing w:val="-2"/>
        </w:rPr>
        <w:t> </w:t>
      </w:r>
      <w:r>
        <w:rPr/>
        <w:t>Registro</w:t>
      </w:r>
      <w:r>
        <w:rPr>
          <w:spacing w:val="-2"/>
        </w:rPr>
        <w:t> </w:t>
      </w:r>
      <w:r>
        <w:rPr/>
        <w:t>de</w:t>
      </w:r>
      <w:r>
        <w:rPr>
          <w:spacing w:val="-2"/>
        </w:rPr>
        <w:t> </w:t>
      </w:r>
      <w:r>
        <w:rPr/>
        <w:t>Entidades</w:t>
      </w:r>
      <w:r>
        <w:rPr>
          <w:spacing w:val="-2"/>
        </w:rPr>
        <w:t> </w:t>
      </w:r>
      <w:r>
        <w:rPr/>
        <w:t>Religiosas,</w:t>
      </w:r>
      <w:r>
        <w:rPr>
          <w:spacing w:val="-2"/>
        </w:rPr>
        <w:t> </w:t>
      </w:r>
      <w:r>
        <w:rPr/>
        <w:t>y</w:t>
      </w:r>
      <w:r>
        <w:rPr>
          <w:spacing w:val="-2"/>
        </w:rPr>
        <w:t> </w:t>
      </w:r>
      <w:r>
        <w:rPr/>
        <w:t>cumplan el requisito establecido en el número 5.º del artículo 3 de esta Ley.</w:t>
      </w:r>
    </w:p>
    <w:p>
      <w:pPr>
        <w:pStyle w:val="BodyText"/>
        <w:ind w:left="0" w:firstLine="0"/>
        <w:jc w:val="left"/>
      </w:pPr>
    </w:p>
    <w:p>
      <w:pPr>
        <w:spacing w:line="249" w:lineRule="auto" w:before="1"/>
        <w:ind w:left="255" w:right="1104" w:hanging="1"/>
        <w:jc w:val="both"/>
        <w:rPr>
          <w:i/>
          <w:sz w:val="20"/>
        </w:rPr>
      </w:pPr>
      <w:bookmarkStart w:name="Disposición adicional novena. Régimen tr" w:id="93"/>
      <w:bookmarkEnd w:id="93"/>
      <w:r>
        <w:rPr/>
      </w:r>
      <w:bookmarkStart w:name="_bookmark45" w:id="94"/>
      <w:bookmarkEnd w:id="94"/>
      <w:r>
        <w:rPr/>
      </w:r>
      <w:r>
        <w:rPr>
          <w:b/>
          <w:sz w:val="20"/>
        </w:rPr>
        <w:t>Disposición adicional novena.</w:t>
      </w:r>
      <w:r>
        <w:rPr>
          <w:b/>
          <w:spacing w:val="40"/>
          <w:sz w:val="20"/>
        </w:rPr>
        <w:t> </w:t>
      </w:r>
      <w:r>
        <w:rPr>
          <w:i/>
          <w:sz w:val="20"/>
        </w:rPr>
        <w:t>Régimen tributario de la Iglesia Católica y de otras iglesias, confesiones y comunidades religiosas.</w:t>
      </w:r>
    </w:p>
    <w:p>
      <w:pPr>
        <w:pStyle w:val="ListParagraph"/>
        <w:numPr>
          <w:ilvl w:val="0"/>
          <w:numId w:val="23"/>
        </w:numPr>
        <w:tabs>
          <w:tab w:pos="853" w:val="left" w:leader="none"/>
        </w:tabs>
        <w:spacing w:line="249" w:lineRule="auto" w:before="115" w:after="0"/>
        <w:ind w:left="255" w:right="1103" w:firstLine="340"/>
        <w:jc w:val="both"/>
        <w:rPr>
          <w:sz w:val="20"/>
        </w:rPr>
      </w:pPr>
      <w:r>
        <w:rPr>
          <w:sz w:val="20"/>
        </w:rPr>
        <w:t>El régimen previsto en los artículos 5 a 15, ambos inclusive, de esta Ley será de aplicación a la Iglesia Católica y a las iglesias, confesiones y comunidades religiosas que tengan suscritos acuerdos de cooperación con el Estado español, sin perjuicio de lo establecido en los acuerdos a que se refiere la disposición adicional anterior.</w:t>
      </w:r>
    </w:p>
    <w:p>
      <w:pPr>
        <w:pStyle w:val="ListParagraph"/>
        <w:numPr>
          <w:ilvl w:val="0"/>
          <w:numId w:val="23"/>
        </w:numPr>
        <w:tabs>
          <w:tab w:pos="861" w:val="left" w:leader="none"/>
        </w:tabs>
        <w:spacing w:line="249" w:lineRule="auto" w:before="3" w:after="0"/>
        <w:ind w:left="255" w:right="1103" w:firstLine="340"/>
        <w:jc w:val="both"/>
        <w:rPr>
          <w:sz w:val="20"/>
        </w:rPr>
      </w:pPr>
      <w:r>
        <w:rPr>
          <w:sz w:val="20"/>
        </w:rPr>
        <w:t>El régimen previsto en esta Ley será también de aplicación a las asociaciones y entidades religiosas comprendidas en el artículo V del Acuerdo sobre Asuntos Económicos suscrito entre el Estado español y la Santa Sede, así como a las entidades contempladas en el</w:t>
      </w:r>
      <w:r>
        <w:rPr>
          <w:spacing w:val="-2"/>
          <w:sz w:val="20"/>
        </w:rPr>
        <w:t> </w:t>
      </w:r>
      <w:r>
        <w:rPr>
          <w:sz w:val="20"/>
        </w:rPr>
        <w:t>apartado</w:t>
      </w:r>
      <w:r>
        <w:rPr>
          <w:spacing w:val="-2"/>
          <w:sz w:val="20"/>
        </w:rPr>
        <w:t> </w:t>
      </w:r>
      <w:r>
        <w:rPr>
          <w:sz w:val="20"/>
        </w:rPr>
        <w:t>5</w:t>
      </w:r>
      <w:r>
        <w:rPr>
          <w:spacing w:val="-2"/>
          <w:sz w:val="20"/>
        </w:rPr>
        <w:t> </w:t>
      </w:r>
      <w:r>
        <w:rPr>
          <w:sz w:val="20"/>
        </w:rPr>
        <w:t>del</w:t>
      </w:r>
      <w:r>
        <w:rPr>
          <w:spacing w:val="-2"/>
          <w:sz w:val="20"/>
        </w:rPr>
        <w:t> </w:t>
      </w:r>
      <w:r>
        <w:rPr>
          <w:sz w:val="20"/>
        </w:rPr>
        <w:t>artículo</w:t>
      </w:r>
      <w:r>
        <w:rPr>
          <w:spacing w:val="-2"/>
          <w:sz w:val="20"/>
        </w:rPr>
        <w:t> </w:t>
      </w:r>
      <w:r>
        <w:rPr>
          <w:sz w:val="20"/>
        </w:rPr>
        <w:t>11</w:t>
      </w:r>
      <w:r>
        <w:rPr>
          <w:spacing w:val="-2"/>
          <w:sz w:val="20"/>
        </w:rPr>
        <w:t> </w:t>
      </w:r>
      <w:r>
        <w:rPr>
          <w:sz w:val="20"/>
        </w:rPr>
        <w:t>de</w:t>
      </w:r>
      <w:r>
        <w:rPr>
          <w:spacing w:val="-2"/>
          <w:sz w:val="20"/>
        </w:rPr>
        <w:t> </w:t>
      </w:r>
      <w:r>
        <w:rPr>
          <w:sz w:val="20"/>
        </w:rPr>
        <w:t>la</w:t>
      </w:r>
      <w:r>
        <w:rPr>
          <w:spacing w:val="-2"/>
          <w:sz w:val="20"/>
        </w:rPr>
        <w:t> </w:t>
      </w:r>
      <w:r>
        <w:rPr>
          <w:sz w:val="20"/>
        </w:rPr>
        <w:t>Ley</w:t>
      </w:r>
      <w:r>
        <w:rPr>
          <w:spacing w:val="-2"/>
          <w:sz w:val="20"/>
        </w:rPr>
        <w:t> </w:t>
      </w:r>
      <w:r>
        <w:rPr>
          <w:sz w:val="20"/>
        </w:rPr>
        <w:t>24/1992,</w:t>
      </w:r>
      <w:r>
        <w:rPr>
          <w:spacing w:val="-2"/>
          <w:sz w:val="20"/>
        </w:rPr>
        <w:t> </w:t>
      </w:r>
      <w:r>
        <w:rPr>
          <w:sz w:val="20"/>
        </w:rPr>
        <w:t>de</w:t>
      </w:r>
      <w:r>
        <w:rPr>
          <w:spacing w:val="-2"/>
          <w:sz w:val="20"/>
        </w:rPr>
        <w:t> </w:t>
      </w:r>
      <w:r>
        <w:rPr>
          <w:sz w:val="20"/>
        </w:rPr>
        <w:t>10</w:t>
      </w:r>
      <w:r>
        <w:rPr>
          <w:spacing w:val="-2"/>
          <w:sz w:val="20"/>
        </w:rPr>
        <w:t> </w:t>
      </w:r>
      <w:r>
        <w:rPr>
          <w:sz w:val="20"/>
        </w:rPr>
        <w:t>de</w:t>
      </w:r>
      <w:r>
        <w:rPr>
          <w:spacing w:val="-2"/>
          <w:sz w:val="20"/>
        </w:rPr>
        <w:t> </w:t>
      </w:r>
      <w:r>
        <w:rPr>
          <w:sz w:val="20"/>
        </w:rPr>
        <w:t>noviembre,</w:t>
      </w:r>
      <w:r>
        <w:rPr>
          <w:spacing w:val="-2"/>
          <w:sz w:val="20"/>
        </w:rPr>
        <w:t> </w:t>
      </w:r>
      <w:r>
        <w:rPr>
          <w:sz w:val="20"/>
        </w:rPr>
        <w:t>por</w:t>
      </w:r>
      <w:r>
        <w:rPr>
          <w:spacing w:val="-2"/>
          <w:sz w:val="20"/>
        </w:rPr>
        <w:t> </w:t>
      </w:r>
      <w:r>
        <w:rPr>
          <w:sz w:val="20"/>
        </w:rPr>
        <w:t>la</w:t>
      </w:r>
      <w:r>
        <w:rPr>
          <w:spacing w:val="-2"/>
          <w:sz w:val="20"/>
        </w:rPr>
        <w:t> </w:t>
      </w:r>
      <w:r>
        <w:rPr>
          <w:sz w:val="20"/>
        </w:rPr>
        <w:t>que</w:t>
      </w:r>
      <w:r>
        <w:rPr>
          <w:spacing w:val="-2"/>
          <w:sz w:val="20"/>
        </w:rPr>
        <w:t> </w:t>
      </w:r>
      <w:r>
        <w:rPr>
          <w:sz w:val="20"/>
        </w:rPr>
        <w:t>se</w:t>
      </w:r>
      <w:r>
        <w:rPr>
          <w:spacing w:val="-2"/>
          <w:sz w:val="20"/>
        </w:rPr>
        <w:t> </w:t>
      </w:r>
      <w:r>
        <w:rPr>
          <w:sz w:val="20"/>
        </w:rPr>
        <w:t>aprueba</w:t>
      </w:r>
      <w:r>
        <w:rPr>
          <w:spacing w:val="-2"/>
          <w:sz w:val="20"/>
        </w:rPr>
        <w:t> </w:t>
      </w:r>
      <w:r>
        <w:rPr>
          <w:sz w:val="20"/>
        </w:rPr>
        <w:t>el Acuerdo de Cooperación del Estado con la Federación de Entidades Religiosas Evangélicas de España; en el apartado 5 del artículo 11 de la Ley 25/1992, de 10 de noviembre, por la que se aprueba el Acuerdo de Cooperación del Estado con la Federación de Comunidades Israelitas de España, y en el apartado 4 del artículo 11 de la Ley 26/1992, de 10 de noviembre, por la que se aprueba el Acuerdo de Cooperación del Estado con la Comisión Islámica de España, siempre que estas entidades cumplan los requisitos exigidos por esta Ley a las entidades sin fines lucrativos para la aplicación de dicho régimen.</w:t>
      </w:r>
    </w:p>
    <w:p>
      <w:pPr>
        <w:pStyle w:val="ListParagraph"/>
        <w:numPr>
          <w:ilvl w:val="0"/>
          <w:numId w:val="23"/>
        </w:numPr>
        <w:tabs>
          <w:tab w:pos="827" w:val="left" w:leader="none"/>
        </w:tabs>
        <w:spacing w:line="249" w:lineRule="auto" w:before="9" w:after="0"/>
        <w:ind w:left="255" w:right="1103" w:firstLine="340"/>
        <w:jc w:val="both"/>
        <w:rPr>
          <w:sz w:val="20"/>
        </w:rPr>
      </w:pPr>
      <w:r>
        <w:rPr>
          <w:sz w:val="20"/>
        </w:rPr>
        <w:t>Las entidades de la Iglesia Católica contempladas en los artículos IV y V del Acuerdo sobre Asuntos Económicos entre el Estado español y la Santa Sede, y las igualmente existentes en los acuerdos de cooperación del Estado español con otras iglesias, confesiones y comunidades religiosas, serán consideradas entidades beneficiarias </w:t>
      </w:r>
      <w:r>
        <w:rPr>
          <w:sz w:val="20"/>
        </w:rPr>
        <w:t>del mecenazgo a los efectos previstos en los artículos 16 a 25, ambos inclusive, de esta Ley.</w:t>
      </w:r>
    </w:p>
    <w:p>
      <w:pPr>
        <w:pStyle w:val="BodyText"/>
        <w:spacing w:before="1"/>
        <w:ind w:left="0" w:firstLine="0"/>
        <w:jc w:val="left"/>
      </w:pPr>
    </w:p>
    <w:p>
      <w:pPr>
        <w:spacing w:line="249" w:lineRule="auto" w:before="0"/>
        <w:ind w:left="255" w:right="1104" w:hanging="1"/>
        <w:jc w:val="both"/>
        <w:rPr>
          <w:i/>
          <w:sz w:val="20"/>
        </w:rPr>
      </w:pPr>
      <w:bookmarkStart w:name="Disposición adicional décima. Régimen tr" w:id="95"/>
      <w:bookmarkEnd w:id="95"/>
      <w:r>
        <w:rPr/>
      </w:r>
      <w:bookmarkStart w:name="_bookmark46" w:id="96"/>
      <w:bookmarkEnd w:id="96"/>
      <w:r>
        <w:rPr/>
      </w:r>
      <w:r>
        <w:rPr>
          <w:b/>
          <w:sz w:val="20"/>
        </w:rPr>
        <w:t>Disposición adicional décima.</w:t>
      </w:r>
      <w:r>
        <w:rPr>
          <w:b/>
          <w:spacing w:val="40"/>
          <w:sz w:val="20"/>
        </w:rPr>
        <w:t> </w:t>
      </w:r>
      <w:r>
        <w:rPr>
          <w:i/>
          <w:sz w:val="20"/>
        </w:rPr>
        <w:t>Régimen tributario del Instituto de España y las Reales Academias integradas en el mismo, así como de las instituciones de las Comunidades Autónomas que tengan fines análogos a los de la Real Academia Española.</w:t>
      </w:r>
    </w:p>
    <w:p>
      <w:pPr>
        <w:pStyle w:val="BodyText"/>
        <w:spacing w:line="249" w:lineRule="auto" w:before="116"/>
        <w:ind w:right="1103"/>
      </w:pPr>
      <w:r>
        <w:rPr/>
        <w:t>Las exenciones establecidas en el artículo 15 de esta Ley serán de aplicación al Instituto de</w:t>
      </w:r>
      <w:r>
        <w:rPr>
          <w:spacing w:val="-2"/>
        </w:rPr>
        <w:t> </w:t>
      </w:r>
      <w:r>
        <w:rPr/>
        <w:t>España</w:t>
      </w:r>
      <w:r>
        <w:rPr>
          <w:spacing w:val="-2"/>
        </w:rPr>
        <w:t> </w:t>
      </w:r>
      <w:r>
        <w:rPr/>
        <w:t>y</w:t>
      </w:r>
      <w:r>
        <w:rPr>
          <w:spacing w:val="-2"/>
        </w:rPr>
        <w:t> </w:t>
      </w:r>
      <w:r>
        <w:rPr/>
        <w:t>a</w:t>
      </w:r>
      <w:r>
        <w:rPr>
          <w:spacing w:val="-2"/>
        </w:rPr>
        <w:t> </w:t>
      </w:r>
      <w:r>
        <w:rPr/>
        <w:t>las</w:t>
      </w:r>
      <w:r>
        <w:rPr>
          <w:spacing w:val="-2"/>
        </w:rPr>
        <w:t> </w:t>
      </w:r>
      <w:r>
        <w:rPr/>
        <w:t>Reales</w:t>
      </w:r>
      <w:r>
        <w:rPr>
          <w:spacing w:val="-2"/>
        </w:rPr>
        <w:t> </w:t>
      </w:r>
      <w:r>
        <w:rPr/>
        <w:t>Academias</w:t>
      </w:r>
      <w:r>
        <w:rPr>
          <w:spacing w:val="-2"/>
        </w:rPr>
        <w:t> </w:t>
      </w:r>
      <w:r>
        <w:rPr/>
        <w:t>integradas</w:t>
      </w:r>
      <w:r>
        <w:rPr>
          <w:spacing w:val="-2"/>
        </w:rPr>
        <w:t> </w:t>
      </w:r>
      <w:r>
        <w:rPr/>
        <w:t>en</w:t>
      </w:r>
      <w:r>
        <w:rPr>
          <w:spacing w:val="-2"/>
        </w:rPr>
        <w:t> </w:t>
      </w:r>
      <w:r>
        <w:rPr/>
        <w:t>el</w:t>
      </w:r>
      <w:r>
        <w:rPr>
          <w:spacing w:val="-2"/>
        </w:rPr>
        <w:t> </w:t>
      </w:r>
      <w:r>
        <w:rPr/>
        <w:t>mismo,</w:t>
      </w:r>
      <w:r>
        <w:rPr>
          <w:spacing w:val="-2"/>
        </w:rPr>
        <w:t> </w:t>
      </w:r>
      <w:r>
        <w:rPr/>
        <w:t>así</w:t>
      </w:r>
      <w:r>
        <w:rPr>
          <w:spacing w:val="-2"/>
        </w:rPr>
        <w:t> </w:t>
      </w:r>
      <w:r>
        <w:rPr/>
        <w:t>como</w:t>
      </w:r>
      <w:r>
        <w:rPr>
          <w:spacing w:val="-2"/>
        </w:rPr>
        <w:t> </w:t>
      </w:r>
      <w:r>
        <w:rPr/>
        <w:t>a</w:t>
      </w:r>
      <w:r>
        <w:rPr>
          <w:spacing w:val="-2"/>
        </w:rPr>
        <w:t> </w:t>
      </w:r>
      <w:r>
        <w:rPr/>
        <w:t>las</w:t>
      </w:r>
      <w:r>
        <w:rPr>
          <w:spacing w:val="-2"/>
        </w:rPr>
        <w:t> </w:t>
      </w:r>
      <w:r>
        <w:rPr/>
        <w:t>instituciones</w:t>
      </w:r>
      <w:r>
        <w:rPr>
          <w:spacing w:val="-2"/>
        </w:rPr>
        <w:t> </w:t>
      </w:r>
      <w:r>
        <w:rPr/>
        <w:t>de las Comunidades Autónomas con lengua oficial propia que tengan fines análogos a los de la Real Academia Española. Estas entidades serán consideradas entidades beneficiarias del mecenazgo a los efectos previstos en los artículos 16 a 25, ambos inclusive, de esta Ley.</w:t>
      </w:r>
    </w:p>
    <w:p>
      <w:pPr>
        <w:pStyle w:val="BodyText"/>
        <w:spacing w:before="0"/>
        <w:ind w:left="0" w:firstLine="0"/>
        <w:jc w:val="left"/>
      </w:pPr>
    </w:p>
    <w:p>
      <w:pPr>
        <w:spacing w:before="1"/>
        <w:ind w:left="255" w:right="0" w:firstLine="0"/>
        <w:jc w:val="both"/>
        <w:rPr>
          <w:i/>
          <w:sz w:val="20"/>
        </w:rPr>
      </w:pPr>
      <w:bookmarkStart w:name="Disposición adicional decimoprimera. Obr" w:id="97"/>
      <w:bookmarkEnd w:id="97"/>
      <w:r>
        <w:rPr/>
      </w:r>
      <w:bookmarkStart w:name="_bookmark47" w:id="98"/>
      <w:bookmarkEnd w:id="98"/>
      <w:r>
        <w:rPr/>
      </w:r>
      <w:r>
        <w:rPr>
          <w:b/>
          <w:sz w:val="20"/>
        </w:rPr>
        <w:t>Disposición</w:t>
      </w:r>
      <w:r>
        <w:rPr>
          <w:b/>
          <w:spacing w:val="-1"/>
          <w:sz w:val="20"/>
        </w:rPr>
        <w:t> </w:t>
      </w:r>
      <w:r>
        <w:rPr>
          <w:b/>
          <w:sz w:val="20"/>
        </w:rPr>
        <w:t>adicional</w:t>
      </w:r>
      <w:r>
        <w:rPr>
          <w:b/>
          <w:spacing w:val="-1"/>
          <w:sz w:val="20"/>
        </w:rPr>
        <w:t> </w:t>
      </w:r>
      <w:r>
        <w:rPr>
          <w:b/>
          <w:sz w:val="20"/>
        </w:rPr>
        <w:t>decimoprimera.</w:t>
      </w:r>
      <w:r>
        <w:rPr>
          <w:b/>
          <w:spacing w:val="51"/>
          <w:sz w:val="20"/>
        </w:rPr>
        <w:t> </w:t>
      </w:r>
      <w:r>
        <w:rPr>
          <w:i/>
          <w:sz w:val="20"/>
        </w:rPr>
        <w:t>Obra</w:t>
      </w:r>
      <w:r>
        <w:rPr>
          <w:i/>
          <w:spacing w:val="-1"/>
          <w:sz w:val="20"/>
        </w:rPr>
        <w:t> </w:t>
      </w:r>
      <w:r>
        <w:rPr>
          <w:i/>
          <w:sz w:val="20"/>
        </w:rPr>
        <w:t>social</w:t>
      </w:r>
      <w:r>
        <w:rPr>
          <w:i/>
          <w:spacing w:val="-1"/>
          <w:sz w:val="20"/>
        </w:rPr>
        <w:t> </w:t>
      </w:r>
      <w:r>
        <w:rPr>
          <w:i/>
          <w:sz w:val="20"/>
        </w:rPr>
        <w:t>de</w:t>
      </w:r>
      <w:r>
        <w:rPr>
          <w:i/>
          <w:spacing w:val="-1"/>
          <w:sz w:val="20"/>
        </w:rPr>
        <w:t> </w:t>
      </w:r>
      <w:r>
        <w:rPr>
          <w:i/>
          <w:sz w:val="20"/>
        </w:rPr>
        <w:t>las</w:t>
      </w:r>
      <w:r>
        <w:rPr>
          <w:i/>
          <w:spacing w:val="-1"/>
          <w:sz w:val="20"/>
        </w:rPr>
        <w:t> </w:t>
      </w:r>
      <w:r>
        <w:rPr>
          <w:i/>
          <w:sz w:val="20"/>
        </w:rPr>
        <w:t>cajas</w:t>
      </w:r>
      <w:r>
        <w:rPr>
          <w:i/>
          <w:spacing w:val="-1"/>
          <w:sz w:val="20"/>
        </w:rPr>
        <w:t> </w:t>
      </w:r>
      <w:r>
        <w:rPr>
          <w:i/>
          <w:sz w:val="20"/>
        </w:rPr>
        <w:t>de</w:t>
      </w:r>
      <w:r>
        <w:rPr>
          <w:i/>
          <w:spacing w:val="-1"/>
          <w:sz w:val="20"/>
        </w:rPr>
        <w:t> </w:t>
      </w:r>
      <w:r>
        <w:rPr>
          <w:i/>
          <w:spacing w:val="-2"/>
          <w:sz w:val="20"/>
        </w:rPr>
        <w:t>ahorro.</w:t>
      </w:r>
    </w:p>
    <w:p>
      <w:pPr>
        <w:pStyle w:val="BodyText"/>
        <w:spacing w:line="249" w:lineRule="auto" w:before="123"/>
        <w:ind w:right="1104"/>
      </w:pPr>
      <w:r>
        <w:rPr/>
        <w:t>Las entidades sin fines lucrativos podrán destinar el patrimonio resultante de su disolución a la obra social de las cajas de ahorro, siempre que así esté expresamente contemplado en el negocio fundacional o en los estatutos de la entidad disuelta, no siendo</w:t>
      </w:r>
      <w:r>
        <w:rPr>
          <w:spacing w:val="40"/>
        </w:rPr>
        <w:t> </w:t>
      </w:r>
      <w:r>
        <w:rPr/>
        <w:t>de aplicación en este supuesto el número 6.º del artículo 3.</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spacing w:line="249" w:lineRule="auto" w:before="1"/>
        <w:ind w:left="255" w:right="1104" w:firstLine="0"/>
        <w:jc w:val="both"/>
        <w:rPr>
          <w:i/>
          <w:sz w:val="20"/>
        </w:rPr>
      </w:pPr>
      <w:bookmarkStart w:name="Disposición adicional decimosegunda. Fed" w:id="99"/>
      <w:bookmarkEnd w:id="99"/>
      <w:r>
        <w:rPr/>
      </w:r>
      <w:bookmarkStart w:name="_bookmark48" w:id="100"/>
      <w:bookmarkEnd w:id="100"/>
      <w:r>
        <w:rPr/>
      </w:r>
      <w:r>
        <w:rPr>
          <w:b/>
          <w:sz w:val="20"/>
        </w:rPr>
        <w:t>Disposición adicional decimosegunda.</w:t>
      </w:r>
      <w:r>
        <w:rPr>
          <w:b/>
          <w:spacing w:val="40"/>
          <w:sz w:val="20"/>
        </w:rPr>
        <w:t> </w:t>
      </w:r>
      <w:r>
        <w:rPr>
          <w:i/>
          <w:sz w:val="20"/>
        </w:rPr>
        <w:t>Federaciones deportivas, Comité Olímpico Español y Comité Paralímpico Español.</w:t>
      </w:r>
    </w:p>
    <w:p>
      <w:pPr>
        <w:pStyle w:val="ListParagraph"/>
        <w:numPr>
          <w:ilvl w:val="0"/>
          <w:numId w:val="24"/>
        </w:numPr>
        <w:tabs>
          <w:tab w:pos="826" w:val="left" w:leader="none"/>
        </w:tabs>
        <w:spacing w:line="249" w:lineRule="auto" w:before="115" w:after="0"/>
        <w:ind w:left="255" w:right="1103" w:firstLine="340"/>
        <w:jc w:val="both"/>
        <w:rPr>
          <w:sz w:val="20"/>
        </w:rPr>
      </w:pPr>
      <w:r>
        <w:rPr>
          <w:sz w:val="20"/>
        </w:rPr>
        <w:t>Los ingresos de los espectáculos deportivos obtenidos por las entidades </w:t>
      </w:r>
      <w:r>
        <w:rPr>
          <w:sz w:val="20"/>
        </w:rPr>
        <w:t>relacionadas en el párrafo e) del artículo 2 de esta Ley no se incluirán en el cómputo del 40 por 100 de los ingresos</w:t>
      </w:r>
      <w:r>
        <w:rPr>
          <w:spacing w:val="19"/>
          <w:sz w:val="20"/>
        </w:rPr>
        <w:t> </w:t>
      </w:r>
      <w:r>
        <w:rPr>
          <w:sz w:val="20"/>
        </w:rPr>
        <w:t>de</w:t>
      </w:r>
      <w:r>
        <w:rPr>
          <w:spacing w:val="19"/>
          <w:sz w:val="20"/>
        </w:rPr>
        <w:t> </w:t>
      </w:r>
      <w:r>
        <w:rPr>
          <w:sz w:val="20"/>
        </w:rPr>
        <w:t>explotaciones</w:t>
      </w:r>
      <w:r>
        <w:rPr>
          <w:spacing w:val="19"/>
          <w:sz w:val="20"/>
        </w:rPr>
        <w:t> </w:t>
      </w:r>
      <w:r>
        <w:rPr>
          <w:sz w:val="20"/>
        </w:rPr>
        <w:t>económicas</w:t>
      </w:r>
      <w:r>
        <w:rPr>
          <w:spacing w:val="19"/>
          <w:sz w:val="20"/>
        </w:rPr>
        <w:t> </w:t>
      </w:r>
      <w:r>
        <w:rPr>
          <w:sz w:val="20"/>
        </w:rPr>
        <w:t>no</w:t>
      </w:r>
      <w:r>
        <w:rPr>
          <w:spacing w:val="19"/>
          <w:sz w:val="20"/>
        </w:rPr>
        <w:t> </w:t>
      </w:r>
      <w:r>
        <w:rPr>
          <w:sz w:val="20"/>
        </w:rPr>
        <w:t>exentas</w:t>
      </w:r>
      <w:r>
        <w:rPr>
          <w:spacing w:val="19"/>
          <w:sz w:val="20"/>
        </w:rPr>
        <w:t> </w:t>
      </w:r>
      <w:r>
        <w:rPr>
          <w:sz w:val="20"/>
        </w:rPr>
        <w:t>a</w:t>
      </w:r>
      <w:r>
        <w:rPr>
          <w:spacing w:val="19"/>
          <w:sz w:val="20"/>
        </w:rPr>
        <w:t> </w:t>
      </w:r>
      <w:r>
        <w:rPr>
          <w:sz w:val="20"/>
        </w:rPr>
        <w:t>que</w:t>
      </w:r>
      <w:r>
        <w:rPr>
          <w:spacing w:val="19"/>
          <w:sz w:val="20"/>
        </w:rPr>
        <w:t> </w:t>
      </w:r>
      <w:r>
        <w:rPr>
          <w:sz w:val="20"/>
        </w:rPr>
        <w:t>se</w:t>
      </w:r>
      <w:r>
        <w:rPr>
          <w:spacing w:val="19"/>
          <w:sz w:val="20"/>
        </w:rPr>
        <w:t> </w:t>
      </w:r>
      <w:r>
        <w:rPr>
          <w:sz w:val="20"/>
        </w:rPr>
        <w:t>refiere</w:t>
      </w:r>
      <w:r>
        <w:rPr>
          <w:spacing w:val="19"/>
          <w:sz w:val="20"/>
        </w:rPr>
        <w:t> </w:t>
      </w:r>
      <w:r>
        <w:rPr>
          <w:sz w:val="20"/>
        </w:rPr>
        <w:t>el</w:t>
      </w:r>
      <w:r>
        <w:rPr>
          <w:spacing w:val="19"/>
          <w:sz w:val="20"/>
        </w:rPr>
        <w:t> </w:t>
      </w:r>
      <w:r>
        <w:rPr>
          <w:sz w:val="20"/>
        </w:rPr>
        <w:t>requisito</w:t>
      </w:r>
      <w:r>
        <w:rPr>
          <w:spacing w:val="19"/>
          <w:sz w:val="20"/>
        </w:rPr>
        <w:t> </w:t>
      </w:r>
      <w:r>
        <w:rPr>
          <w:sz w:val="20"/>
        </w:rPr>
        <w:t>del</w:t>
      </w:r>
      <w:r>
        <w:rPr>
          <w:spacing w:val="19"/>
          <w:sz w:val="20"/>
        </w:rPr>
        <w:t> </w:t>
      </w:r>
      <w:r>
        <w:rPr>
          <w:sz w:val="20"/>
        </w:rPr>
        <w:t>número</w:t>
      </w:r>
    </w:p>
    <w:p>
      <w:pPr>
        <w:pStyle w:val="ListParagraph"/>
        <w:numPr>
          <w:ilvl w:val="0"/>
          <w:numId w:val="22"/>
        </w:numPr>
        <w:tabs>
          <w:tab w:pos="419" w:val="left" w:leader="none"/>
        </w:tabs>
        <w:spacing w:line="240" w:lineRule="auto" w:before="2" w:after="0"/>
        <w:ind w:left="419" w:right="0" w:hanging="164"/>
        <w:jc w:val="both"/>
        <w:rPr>
          <w:sz w:val="20"/>
        </w:rPr>
      </w:pPr>
      <w:r>
        <w:rPr>
          <w:sz w:val="20"/>
        </w:rPr>
        <w:t>º</w:t>
      </w:r>
      <w:r>
        <w:rPr>
          <w:spacing w:val="-4"/>
          <w:sz w:val="20"/>
        </w:rPr>
        <w:t> </w:t>
      </w:r>
      <w:r>
        <w:rPr>
          <w:sz w:val="20"/>
        </w:rPr>
        <w:t>de</w:t>
      </w:r>
      <w:r>
        <w:rPr>
          <w:spacing w:val="-2"/>
          <w:sz w:val="20"/>
        </w:rPr>
        <w:t> </w:t>
      </w:r>
      <w:r>
        <w:rPr>
          <w:sz w:val="20"/>
        </w:rPr>
        <w:t>su</w:t>
      </w:r>
      <w:r>
        <w:rPr>
          <w:spacing w:val="-2"/>
          <w:sz w:val="20"/>
        </w:rPr>
        <w:t> </w:t>
      </w:r>
      <w:r>
        <w:rPr>
          <w:sz w:val="20"/>
        </w:rPr>
        <w:t>artículo</w:t>
      </w:r>
      <w:r>
        <w:rPr>
          <w:spacing w:val="-2"/>
          <w:sz w:val="20"/>
        </w:rPr>
        <w:t> </w:t>
      </w:r>
      <w:r>
        <w:rPr>
          <w:spacing w:val="-5"/>
          <w:sz w:val="20"/>
        </w:rPr>
        <w:t>3.</w:t>
      </w:r>
    </w:p>
    <w:p>
      <w:pPr>
        <w:pStyle w:val="ListParagraph"/>
        <w:numPr>
          <w:ilvl w:val="0"/>
          <w:numId w:val="24"/>
        </w:numPr>
        <w:tabs>
          <w:tab w:pos="830" w:val="left" w:leader="none"/>
        </w:tabs>
        <w:spacing w:line="249" w:lineRule="auto" w:before="10" w:after="0"/>
        <w:ind w:left="255" w:right="1103" w:firstLine="340"/>
        <w:jc w:val="both"/>
        <w:rPr>
          <w:sz w:val="20"/>
        </w:rPr>
      </w:pPr>
      <w:r>
        <w:rPr>
          <w:sz w:val="20"/>
        </w:rPr>
        <w:t>Están exentas del Impuesto sobre Sociedades las rentas obtenidas por las entidades relacionadas en el párrafo e) del artículo 2 de esta Ley que procedan de la celebración, retransmisión o difusión por cualquier medio de las competiciones amistosas u oficiales en las que participen las selecciones nacionales o autonómicas, siempre que la organización de dichas competiciones sea de su exclusiva competencia.</w:t>
      </w:r>
    </w:p>
    <w:p>
      <w:pPr>
        <w:pStyle w:val="BodyText"/>
        <w:spacing w:before="1"/>
        <w:ind w:left="0" w:firstLine="0"/>
        <w:jc w:val="left"/>
      </w:pPr>
    </w:p>
    <w:p>
      <w:pPr>
        <w:spacing w:line="249" w:lineRule="auto" w:before="0"/>
        <w:ind w:left="255" w:right="1104" w:hanging="1"/>
        <w:jc w:val="both"/>
        <w:rPr>
          <w:i/>
          <w:sz w:val="20"/>
        </w:rPr>
      </w:pPr>
      <w:bookmarkStart w:name="Disposición adicional decimotercera. Rég" w:id="101"/>
      <w:bookmarkEnd w:id="101"/>
      <w:r>
        <w:rPr/>
      </w:r>
      <w:bookmarkStart w:name="_bookmark49" w:id="102"/>
      <w:bookmarkEnd w:id="102"/>
      <w:r>
        <w:rPr/>
      </w:r>
      <w:r>
        <w:rPr>
          <w:b/>
          <w:sz w:val="20"/>
        </w:rPr>
        <w:t>Disposición adicional decimotercera.</w:t>
      </w:r>
      <w:r>
        <w:rPr>
          <w:b/>
          <w:spacing w:val="40"/>
          <w:sz w:val="20"/>
        </w:rPr>
        <w:t> </w:t>
      </w:r>
      <w:r>
        <w:rPr>
          <w:i/>
          <w:sz w:val="20"/>
        </w:rPr>
        <w:t>Régimen tributario de las entidades benéficas de </w:t>
      </w:r>
      <w:r>
        <w:rPr>
          <w:i/>
          <w:spacing w:val="-2"/>
          <w:sz w:val="20"/>
        </w:rPr>
        <w:t>construcción.</w:t>
      </w:r>
    </w:p>
    <w:p>
      <w:pPr>
        <w:pStyle w:val="BodyText"/>
        <w:spacing w:line="249" w:lineRule="auto" w:before="115"/>
        <w:ind w:right="1103"/>
      </w:pPr>
      <w:r>
        <w:rPr/>
        <w:t>Las entidades benéficas de construcción constituidas al amparo del artículo 5 de la Ley de 15 de julio de 1954 podrán optar por el régimen previsto en los artículos 5 a 15, ambos inclusive, de esta Ley, siempre que cumplan los requisitos establecidos en la normativa propia reguladora de estas entidades, se encuentren debidamente inscritas en el registro correspondiente de la Administración central o autonómica, y cumplan el requisito</w:t>
      </w:r>
      <w:r>
        <w:rPr>
          <w:spacing w:val="40"/>
        </w:rPr>
        <w:t> </w:t>
      </w:r>
      <w:r>
        <w:rPr/>
        <w:t>establecido en el número 5.º del artículo 3 de esta Ley. No se aplicará a estas entidades lo previsto en los artículos 16 a 25, ambos inclusive, de esta Ley.</w:t>
      </w:r>
    </w:p>
    <w:p>
      <w:pPr>
        <w:pStyle w:val="BodyText"/>
        <w:ind w:left="0" w:firstLine="0"/>
        <w:jc w:val="left"/>
      </w:pPr>
    </w:p>
    <w:p>
      <w:pPr>
        <w:spacing w:before="1"/>
        <w:ind w:left="255" w:right="0" w:firstLine="0"/>
        <w:jc w:val="both"/>
        <w:rPr>
          <w:i/>
          <w:sz w:val="20"/>
        </w:rPr>
      </w:pPr>
      <w:bookmarkStart w:name="Disposición adicional decimocuarta. Cons" w:id="103"/>
      <w:bookmarkEnd w:id="103"/>
      <w:r>
        <w:rPr/>
      </w:r>
      <w:bookmarkStart w:name="_bookmark50" w:id="104"/>
      <w:bookmarkEnd w:id="104"/>
      <w:r>
        <w:rPr/>
      </w:r>
      <w:r>
        <w:rPr>
          <w:b/>
          <w:sz w:val="20"/>
        </w:rPr>
        <w:t>Disposición adicional decimocuarta.</w:t>
      </w:r>
      <w:r>
        <w:rPr>
          <w:b/>
          <w:spacing w:val="53"/>
          <w:sz w:val="20"/>
        </w:rPr>
        <w:t> </w:t>
      </w:r>
      <w:r>
        <w:rPr>
          <w:i/>
          <w:sz w:val="20"/>
        </w:rPr>
        <w:t>Consultas </w:t>
      </w:r>
      <w:r>
        <w:rPr>
          <w:i/>
          <w:spacing w:val="-2"/>
          <w:sz w:val="20"/>
        </w:rPr>
        <w:t>vinculantes.</w:t>
      </w:r>
    </w:p>
    <w:p>
      <w:pPr>
        <w:pStyle w:val="BodyText"/>
        <w:spacing w:line="249" w:lineRule="auto" w:before="123"/>
        <w:ind w:right="1103"/>
      </w:pPr>
      <w:r>
        <w:rPr/>
        <w:t>Durante los primeros seis meses siguientes a la entrada en vigor de esta Ley podrán formularse a la Administración tributaria consultas sobre la aplicación de la Ley, cuya contestación tendrá carácter vinculante, en los términos siguientes:</w:t>
      </w:r>
    </w:p>
    <w:p>
      <w:pPr>
        <w:pStyle w:val="BodyText"/>
        <w:spacing w:line="249" w:lineRule="auto"/>
        <w:ind w:right="1102"/>
      </w:pPr>
      <w:r>
        <w:rPr/>
        <w:t>Primero. Las consultas podrán plantearse exclusivamente por las federaciones y asociaciones de las entidades a que se refiere el párrafo f) del artículo 2 de esta Ley, por las Federaciones deportivas españolas y por las Conferencias, Comisiones y Secretarías </w:t>
      </w:r>
      <w:r>
        <w:rPr/>
        <w:t>que representen, respectivamente, a las entidades a que se refiere la disposición adicional novena de esta Ley, referidas a cuestiones que afecten a sus miembros o asociados.</w:t>
      </w:r>
    </w:p>
    <w:p>
      <w:pPr>
        <w:pStyle w:val="BodyText"/>
        <w:spacing w:line="249" w:lineRule="auto" w:before="5"/>
        <w:ind w:right="1104"/>
      </w:pPr>
      <w:r>
        <w:rPr/>
        <w:t>Segundo. Las contestaciones de la Administración tributaria a las consultas que se formulen en los términos anteriores se comunicarán a la entidad consultante y se publicarán en el «Boletín Oficial del Ministerio de Hacienda».</w:t>
      </w:r>
    </w:p>
    <w:p>
      <w:pPr>
        <w:pStyle w:val="BodyText"/>
        <w:spacing w:line="249" w:lineRule="auto"/>
        <w:ind w:right="1102"/>
      </w:pPr>
      <w:r>
        <w:rPr/>
        <w:t>Tercero. La presentación, tramitación y contestación de estas consultas, así como los efectos de su contestación, se regirán por lo dispuesto en el Real Decreto 404/1997, de 21 de marzo, por el que se establece el régimen aplicable a las consultas cuya contestación deba tener carácter vinculante para la Administración tributaria.</w:t>
      </w:r>
    </w:p>
    <w:p>
      <w:pPr>
        <w:pStyle w:val="BodyText"/>
        <w:spacing w:before="0"/>
        <w:ind w:left="0" w:firstLine="0"/>
        <w:jc w:val="left"/>
      </w:pPr>
    </w:p>
    <w:p>
      <w:pPr>
        <w:spacing w:line="249" w:lineRule="auto" w:before="0"/>
        <w:ind w:left="255" w:right="1103" w:hanging="1"/>
        <w:jc w:val="both"/>
        <w:rPr>
          <w:i/>
          <w:sz w:val="20"/>
        </w:rPr>
      </w:pPr>
      <w:bookmarkStart w:name="Disposición adicional decimoquinta. Ciud" w:id="105"/>
      <w:bookmarkEnd w:id="105"/>
      <w:r>
        <w:rPr/>
      </w:r>
      <w:bookmarkStart w:name="_bookmark51" w:id="106"/>
      <w:bookmarkEnd w:id="106"/>
      <w:r>
        <w:rPr/>
      </w:r>
      <w:r>
        <w:rPr>
          <w:b/>
          <w:sz w:val="20"/>
        </w:rPr>
        <w:t>Disposición adicional decimoquinta.</w:t>
      </w:r>
      <w:r>
        <w:rPr>
          <w:b/>
          <w:spacing w:val="40"/>
          <w:sz w:val="20"/>
        </w:rPr>
        <w:t> </w:t>
      </w:r>
      <w:r>
        <w:rPr>
          <w:i/>
          <w:sz w:val="20"/>
        </w:rPr>
        <w:t>Ciudades, conjuntos y bienes declarados Patrimonio Mundial por la Unesco situados en España.</w:t>
      </w:r>
    </w:p>
    <w:p>
      <w:pPr>
        <w:pStyle w:val="BodyText"/>
        <w:spacing w:line="249" w:lineRule="auto" w:before="115"/>
        <w:ind w:right="1102"/>
      </w:pPr>
      <w:r>
        <w:rPr/>
        <w:t>A los efectos de las deducciones previstas en las disposiciones adicionales primera y segunda de esta Ley, se relacionan en el anexo de la presente Ley las ciudades españolas y los conjuntos arquitectónicos, arqueológicos, naturales o paisajísticos y los </w:t>
      </w:r>
      <w:r>
        <w:rPr/>
        <w:t>bienes</w:t>
      </w:r>
      <w:r>
        <w:rPr>
          <w:spacing w:val="40"/>
        </w:rPr>
        <w:t> </w:t>
      </w:r>
      <w:r>
        <w:rPr/>
        <w:t>declarados Patrimonio Mundial por la Unesco situados en España.</w:t>
      </w:r>
    </w:p>
    <w:p>
      <w:pPr>
        <w:pStyle w:val="BodyText"/>
        <w:spacing w:before="0"/>
        <w:ind w:left="0" w:firstLine="0"/>
        <w:jc w:val="left"/>
      </w:pPr>
    </w:p>
    <w:p>
      <w:pPr>
        <w:spacing w:before="0"/>
        <w:ind w:left="255" w:right="0" w:firstLine="0"/>
        <w:jc w:val="both"/>
        <w:rPr>
          <w:i/>
          <w:sz w:val="20"/>
        </w:rPr>
      </w:pPr>
      <w:bookmarkStart w:name="Disposición adicional decimosexta. Hacie" w:id="107"/>
      <w:bookmarkEnd w:id="107"/>
      <w:r>
        <w:rPr/>
      </w:r>
      <w:bookmarkStart w:name="_bookmark52" w:id="108"/>
      <w:bookmarkEnd w:id="108"/>
      <w:r>
        <w:rPr/>
      </w:r>
      <w:r>
        <w:rPr>
          <w:b/>
          <w:sz w:val="20"/>
        </w:rPr>
        <w:t>Disposición adicional decimosexta.</w:t>
      </w:r>
      <w:r>
        <w:rPr>
          <w:b/>
          <w:spacing w:val="53"/>
          <w:sz w:val="20"/>
        </w:rPr>
        <w:t> </w:t>
      </w:r>
      <w:r>
        <w:rPr>
          <w:i/>
          <w:sz w:val="20"/>
        </w:rPr>
        <w:t>Haciendas </w:t>
      </w:r>
      <w:r>
        <w:rPr>
          <w:i/>
          <w:spacing w:val="-2"/>
          <w:sz w:val="20"/>
        </w:rPr>
        <w:t>locales.</w:t>
      </w:r>
    </w:p>
    <w:p>
      <w:pPr>
        <w:pStyle w:val="BodyText"/>
        <w:spacing w:line="249" w:lineRule="auto" w:before="124"/>
        <w:ind w:right="1104"/>
      </w:pPr>
      <w:r>
        <w:rPr/>
        <w:t>A efectos de lo establecido en esta Ley, no será de aplicación lo dispuesto en el primer párrafo del apartado 2 del artículo 9 de la Ley 39/1988, de 28 de diciembre, reguladora de</w:t>
      </w:r>
      <w:r>
        <w:rPr>
          <w:spacing w:val="80"/>
        </w:rPr>
        <w:t> </w:t>
      </w:r>
      <w:r>
        <w:rPr/>
        <w:t>las Haciendas Locales.</w:t>
      </w:r>
    </w:p>
    <w:p>
      <w:pPr>
        <w:spacing w:before="229"/>
        <w:ind w:left="255" w:right="0" w:firstLine="0"/>
        <w:jc w:val="both"/>
        <w:rPr>
          <w:i/>
          <w:sz w:val="20"/>
        </w:rPr>
      </w:pPr>
      <w:bookmarkStart w:name="Disposición adicional decimoséptima. Rem" w:id="109"/>
      <w:bookmarkEnd w:id="109"/>
      <w:r>
        <w:rPr/>
      </w:r>
      <w:bookmarkStart w:name="_bookmark53" w:id="110"/>
      <w:bookmarkEnd w:id="110"/>
      <w:r>
        <w:rPr/>
      </w:r>
      <w:r>
        <w:rPr>
          <w:b/>
          <w:sz w:val="20"/>
        </w:rPr>
        <w:t>Disposición adicional decimoséptima.</w:t>
      </w:r>
      <w:r>
        <w:rPr>
          <w:b/>
          <w:spacing w:val="53"/>
          <w:sz w:val="20"/>
        </w:rPr>
        <w:t> </w:t>
      </w:r>
      <w:r>
        <w:rPr>
          <w:i/>
          <w:sz w:val="20"/>
        </w:rPr>
        <w:t>Remisiones </w:t>
      </w:r>
      <w:r>
        <w:rPr>
          <w:i/>
          <w:spacing w:val="-2"/>
          <w:sz w:val="20"/>
        </w:rPr>
        <w:t>normativas.</w:t>
      </w:r>
    </w:p>
    <w:p>
      <w:pPr>
        <w:pStyle w:val="BodyText"/>
        <w:spacing w:line="249" w:lineRule="auto" w:before="123"/>
        <w:ind w:right="1102"/>
      </w:pPr>
      <w:r>
        <w:rPr/>
        <w:t>Las remisiones normativas realizadas al Título II de la Ley 30/1994, de 24 de noviembre, de Fundaciones y de Incentivos Fiscales a la Participación Privada en Actividades de Interés General, se entenderán hechas a los preceptos de esta Ley.</w:t>
      </w:r>
    </w:p>
    <w:p>
      <w:pPr>
        <w:pStyle w:val="BodyText"/>
        <w:spacing w:after="0" w:line="249" w:lineRule="auto"/>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spacing w:before="1"/>
        <w:ind w:left="255" w:right="0" w:firstLine="0"/>
        <w:jc w:val="left"/>
        <w:rPr>
          <w:i/>
          <w:sz w:val="20"/>
        </w:rPr>
      </w:pPr>
      <w:bookmarkStart w:name="Disposición adicional decimoctava. Régim" w:id="111"/>
      <w:bookmarkEnd w:id="111"/>
      <w:r>
        <w:rPr/>
      </w:r>
      <w:bookmarkStart w:name="_bookmark54" w:id="112"/>
      <w:bookmarkEnd w:id="112"/>
      <w:r>
        <w:rPr/>
      </w:r>
      <w:r>
        <w:rPr>
          <w:b/>
          <w:sz w:val="20"/>
        </w:rPr>
        <w:t>Disposición</w:t>
      </w:r>
      <w:r>
        <w:rPr>
          <w:b/>
          <w:spacing w:val="-6"/>
          <w:sz w:val="20"/>
        </w:rPr>
        <w:t> </w:t>
      </w:r>
      <w:r>
        <w:rPr>
          <w:b/>
          <w:sz w:val="20"/>
        </w:rPr>
        <w:t>adicional</w:t>
      </w:r>
      <w:r>
        <w:rPr>
          <w:b/>
          <w:spacing w:val="-3"/>
          <w:sz w:val="20"/>
        </w:rPr>
        <w:t> </w:t>
      </w:r>
      <w:r>
        <w:rPr>
          <w:b/>
          <w:sz w:val="20"/>
        </w:rPr>
        <w:t>decimoctava.</w:t>
      </w:r>
      <w:r>
        <w:rPr>
          <w:b/>
          <w:spacing w:val="48"/>
          <w:sz w:val="20"/>
        </w:rPr>
        <w:t> </w:t>
      </w:r>
      <w:r>
        <w:rPr>
          <w:i/>
          <w:sz w:val="20"/>
        </w:rPr>
        <w:t>Régimen</w:t>
      </w:r>
      <w:r>
        <w:rPr>
          <w:i/>
          <w:spacing w:val="-3"/>
          <w:sz w:val="20"/>
        </w:rPr>
        <w:t> </w:t>
      </w:r>
      <w:r>
        <w:rPr>
          <w:i/>
          <w:sz w:val="20"/>
        </w:rPr>
        <w:t>tributario</w:t>
      </w:r>
      <w:r>
        <w:rPr>
          <w:i/>
          <w:spacing w:val="-3"/>
          <w:sz w:val="20"/>
        </w:rPr>
        <w:t> </w:t>
      </w:r>
      <w:r>
        <w:rPr>
          <w:i/>
          <w:sz w:val="20"/>
        </w:rPr>
        <w:t>del</w:t>
      </w:r>
      <w:r>
        <w:rPr>
          <w:i/>
          <w:spacing w:val="-3"/>
          <w:sz w:val="20"/>
        </w:rPr>
        <w:t> </w:t>
      </w:r>
      <w:r>
        <w:rPr>
          <w:i/>
          <w:sz w:val="20"/>
        </w:rPr>
        <w:t>Museo</w:t>
      </w:r>
      <w:r>
        <w:rPr>
          <w:i/>
          <w:spacing w:val="-3"/>
          <w:sz w:val="20"/>
        </w:rPr>
        <w:t> </w:t>
      </w:r>
      <w:r>
        <w:rPr>
          <w:i/>
          <w:sz w:val="20"/>
        </w:rPr>
        <w:t>Nacional</w:t>
      </w:r>
      <w:r>
        <w:rPr>
          <w:i/>
          <w:spacing w:val="-3"/>
          <w:sz w:val="20"/>
        </w:rPr>
        <w:t> </w:t>
      </w:r>
      <w:r>
        <w:rPr>
          <w:i/>
          <w:sz w:val="20"/>
        </w:rPr>
        <w:t>del</w:t>
      </w:r>
      <w:r>
        <w:rPr>
          <w:i/>
          <w:spacing w:val="-3"/>
          <w:sz w:val="20"/>
        </w:rPr>
        <w:t> </w:t>
      </w:r>
      <w:r>
        <w:rPr>
          <w:i/>
          <w:spacing w:val="-2"/>
          <w:sz w:val="20"/>
        </w:rPr>
        <w:t>Prado.</w:t>
      </w:r>
    </w:p>
    <w:p>
      <w:pPr>
        <w:pStyle w:val="BodyText"/>
        <w:spacing w:line="249" w:lineRule="auto" w:before="123"/>
        <w:ind w:right="1104"/>
      </w:pPr>
      <w:r>
        <w:rPr/>
        <w:t>El Museo Nacional del Prado será considerado entidad beneficiaria del mecenazgo a los efectos previstos en los artículos 16 a 25, ambos inclusive, de esta ley.</w:t>
      </w:r>
    </w:p>
    <w:p>
      <w:pPr>
        <w:spacing w:line="249" w:lineRule="auto" w:before="228"/>
        <w:ind w:left="255" w:right="1105" w:hanging="1"/>
        <w:jc w:val="both"/>
        <w:rPr>
          <w:i/>
          <w:sz w:val="20"/>
        </w:rPr>
      </w:pPr>
      <w:bookmarkStart w:name="Disposición adicional decimonovena. Régi" w:id="113"/>
      <w:bookmarkEnd w:id="113"/>
      <w:r>
        <w:rPr/>
      </w:r>
      <w:bookmarkStart w:name="_bookmark55" w:id="114"/>
      <w:bookmarkEnd w:id="114"/>
      <w:r>
        <w:rPr/>
      </w:r>
      <w:r>
        <w:rPr>
          <w:b/>
          <w:sz w:val="20"/>
        </w:rPr>
        <w:t>Disposición adicional decimonovena.</w:t>
      </w:r>
      <w:r>
        <w:rPr>
          <w:b/>
          <w:spacing w:val="40"/>
          <w:sz w:val="20"/>
        </w:rPr>
        <w:t> </w:t>
      </w:r>
      <w:r>
        <w:rPr>
          <w:i/>
          <w:sz w:val="20"/>
        </w:rPr>
        <w:t>Régimen tributario del Museo Nacional Centro de Arte Reina Sofía.</w:t>
      </w:r>
    </w:p>
    <w:p>
      <w:pPr>
        <w:pStyle w:val="BodyText"/>
        <w:spacing w:line="249" w:lineRule="auto" w:before="115"/>
        <w:ind w:right="1105"/>
      </w:pPr>
      <w:r>
        <w:rPr/>
        <w:t>El Museo Nacional Centro de Arte Reina Sofía será considerado entidad beneficiaria del mecenazgo a los efectos previstos en los artículos 16 a 25, ambos inclusive, de esta ley.</w:t>
      </w:r>
    </w:p>
    <w:p>
      <w:pPr>
        <w:spacing w:line="249" w:lineRule="auto" w:before="229"/>
        <w:ind w:left="255" w:right="1103" w:firstLine="0"/>
        <w:jc w:val="both"/>
        <w:rPr>
          <w:i/>
          <w:sz w:val="20"/>
        </w:rPr>
      </w:pPr>
      <w:bookmarkStart w:name="[Disposiciones transitorias]" w:id="115"/>
      <w:bookmarkEnd w:id="115"/>
      <w:r>
        <w:rPr/>
      </w:r>
      <w:bookmarkStart w:name="Disposición transitoria primera. Régimen" w:id="116"/>
      <w:bookmarkEnd w:id="116"/>
      <w:r>
        <w:rPr/>
      </w:r>
      <w:bookmarkStart w:name="_bookmark56" w:id="117"/>
      <w:bookmarkEnd w:id="117"/>
      <w:r>
        <w:rPr/>
      </w:r>
      <w:r>
        <w:rPr>
          <w:b/>
          <w:sz w:val="20"/>
        </w:rPr>
        <w:t>Disposición transitoria primera.</w:t>
      </w:r>
      <w:r>
        <w:rPr>
          <w:b/>
          <w:spacing w:val="40"/>
          <w:sz w:val="20"/>
        </w:rPr>
        <w:t> </w:t>
      </w:r>
      <w:r>
        <w:rPr>
          <w:i/>
          <w:sz w:val="20"/>
        </w:rPr>
        <w:t>Régimen transitorio de las exenciones concedidas al amparo de la Ley 30/1994, de 24 de noviembre, de Fundaciones y de Incentivos Fiscales a</w:t>
      </w:r>
      <w:r>
        <w:rPr>
          <w:i/>
          <w:spacing w:val="40"/>
          <w:sz w:val="20"/>
        </w:rPr>
        <w:t> </w:t>
      </w:r>
      <w:r>
        <w:rPr>
          <w:i/>
          <w:sz w:val="20"/>
        </w:rPr>
        <w:t>la Participación Privada en Actividades de Interés General.</w:t>
      </w:r>
    </w:p>
    <w:p>
      <w:pPr>
        <w:pStyle w:val="BodyText"/>
        <w:spacing w:line="249" w:lineRule="auto" w:before="116"/>
        <w:ind w:right="1103"/>
      </w:pPr>
      <w:r>
        <w:rPr/>
        <w:t>Las exenciones concedidas a las entidades a las que se refiere el artículo 2 de esta Ley, al amparo de la Ley 30/1994, de 24 de noviembre, de Fundaciones y de Incentivos Fiscales</w:t>
      </w:r>
      <w:r>
        <w:rPr>
          <w:spacing w:val="40"/>
        </w:rPr>
        <w:t> </w:t>
      </w:r>
      <w:r>
        <w:rPr/>
        <w:t>a la Participación Privada en Actividades de Interés General, mantendrán su vigencia</w:t>
      </w:r>
      <w:r>
        <w:rPr>
          <w:spacing w:val="40"/>
        </w:rPr>
        <w:t> </w:t>
      </w:r>
      <w:r>
        <w:rPr/>
        <w:t>durante un período de dos años a partir de la entrada en vigor de esta Ley.</w:t>
      </w:r>
    </w:p>
    <w:p>
      <w:pPr>
        <w:pStyle w:val="BodyText"/>
        <w:spacing w:before="0"/>
        <w:ind w:left="0" w:firstLine="0"/>
        <w:jc w:val="left"/>
      </w:pPr>
    </w:p>
    <w:p>
      <w:pPr>
        <w:spacing w:line="249" w:lineRule="auto" w:before="0"/>
        <w:ind w:left="255" w:right="1104" w:firstLine="0"/>
        <w:jc w:val="both"/>
        <w:rPr>
          <w:i/>
          <w:sz w:val="20"/>
        </w:rPr>
      </w:pPr>
      <w:bookmarkStart w:name="Disposición transitoria segunda. Régimen" w:id="118"/>
      <w:bookmarkEnd w:id="118"/>
      <w:r>
        <w:rPr/>
      </w:r>
      <w:bookmarkStart w:name="_bookmark57" w:id="119"/>
      <w:bookmarkEnd w:id="119"/>
      <w:r>
        <w:rPr/>
      </w:r>
      <w:r>
        <w:rPr>
          <w:b/>
          <w:sz w:val="20"/>
        </w:rPr>
        <w:t>Disposición transitoria segunda.</w:t>
      </w:r>
      <w:r>
        <w:rPr>
          <w:b/>
          <w:spacing w:val="40"/>
          <w:sz w:val="20"/>
        </w:rPr>
        <w:t> </w:t>
      </w:r>
      <w:r>
        <w:rPr>
          <w:i/>
          <w:sz w:val="20"/>
        </w:rPr>
        <w:t>Régimen transitorio de los administradores de sociedades mercantiles nombrados por entidades sin fines lucrativos.</w:t>
      </w:r>
    </w:p>
    <w:p>
      <w:pPr>
        <w:pStyle w:val="BodyText"/>
        <w:spacing w:line="249" w:lineRule="auto" w:before="115"/>
        <w:ind w:right="1104"/>
      </w:pPr>
      <w:r>
        <w:rPr/>
        <w:t>Las entidades sin fines lucrativos constituidas antes de la entrada en vigor de esta Ley que opten por aplicar el régimen fiscal especial previsto en su Título II dispondrán del plazo de un año desde dicha entrada en vigor para dar cumplimiento al requisito establecido en el último párrafo del número 5.º de su artículo 3, en relación con los administradores que estas entidades hayan nombrado en las sociedades mercantiles en que participen.</w:t>
      </w:r>
    </w:p>
    <w:p>
      <w:pPr>
        <w:pStyle w:val="BodyText"/>
        <w:spacing w:before="1"/>
        <w:ind w:left="0" w:firstLine="0"/>
        <w:jc w:val="left"/>
      </w:pPr>
    </w:p>
    <w:p>
      <w:pPr>
        <w:spacing w:before="0"/>
        <w:ind w:left="255" w:right="0" w:firstLine="0"/>
        <w:jc w:val="left"/>
        <w:rPr>
          <w:i/>
          <w:sz w:val="20"/>
        </w:rPr>
      </w:pPr>
      <w:bookmarkStart w:name="Disposición transitoria tercera. Adaptac" w:id="120"/>
      <w:bookmarkEnd w:id="120"/>
      <w:r>
        <w:rPr/>
      </w:r>
      <w:bookmarkStart w:name="_bookmark58" w:id="121"/>
      <w:bookmarkEnd w:id="121"/>
      <w:r>
        <w:rPr/>
      </w:r>
      <w:r>
        <w:rPr>
          <w:b/>
          <w:sz w:val="20"/>
        </w:rPr>
        <w:t>Disposición</w:t>
      </w:r>
      <w:r>
        <w:rPr>
          <w:b/>
          <w:spacing w:val="-3"/>
          <w:sz w:val="20"/>
        </w:rPr>
        <w:t> </w:t>
      </w:r>
      <w:r>
        <w:rPr>
          <w:b/>
          <w:sz w:val="20"/>
        </w:rPr>
        <w:t>transitoria</w:t>
      </w:r>
      <w:r>
        <w:rPr>
          <w:b/>
          <w:spacing w:val="-3"/>
          <w:sz w:val="20"/>
        </w:rPr>
        <w:t> </w:t>
      </w:r>
      <w:r>
        <w:rPr>
          <w:b/>
          <w:sz w:val="20"/>
        </w:rPr>
        <w:t>tercera.</w:t>
      </w:r>
      <w:r>
        <w:rPr>
          <w:b/>
          <w:spacing w:val="48"/>
          <w:sz w:val="20"/>
        </w:rPr>
        <w:t> </w:t>
      </w:r>
      <w:r>
        <w:rPr>
          <w:i/>
          <w:sz w:val="20"/>
        </w:rPr>
        <w:t>Adaptación</w:t>
      </w:r>
      <w:r>
        <w:rPr>
          <w:i/>
          <w:spacing w:val="-3"/>
          <w:sz w:val="20"/>
        </w:rPr>
        <w:t> </w:t>
      </w:r>
      <w:r>
        <w:rPr>
          <w:i/>
          <w:sz w:val="20"/>
        </w:rPr>
        <w:t>de</w:t>
      </w:r>
      <w:r>
        <w:rPr>
          <w:i/>
          <w:spacing w:val="-3"/>
          <w:sz w:val="20"/>
        </w:rPr>
        <w:t> </w:t>
      </w:r>
      <w:r>
        <w:rPr>
          <w:i/>
          <w:sz w:val="20"/>
        </w:rPr>
        <w:t>los</w:t>
      </w:r>
      <w:r>
        <w:rPr>
          <w:i/>
          <w:spacing w:val="-2"/>
          <w:sz w:val="20"/>
        </w:rPr>
        <w:t> estatutos.</w:t>
      </w:r>
    </w:p>
    <w:p>
      <w:pPr>
        <w:pStyle w:val="BodyText"/>
        <w:spacing w:line="249" w:lineRule="auto" w:before="123"/>
        <w:ind w:right="1104"/>
      </w:pPr>
      <w:r>
        <w:rPr/>
        <w:t>Las entidades sin fines lucrativos constituidas antes de la entrada en vigor de esta Ley que opten por aplicar el régimen fiscal especial previsto en su Título II dispondrán de un plazo de dos años desde dicha entrada en vigor para adaptar sus estatutos a lo establecido en el número 6.º de su artículo 3.</w:t>
      </w:r>
    </w:p>
    <w:p>
      <w:pPr>
        <w:pStyle w:val="BodyText"/>
        <w:spacing w:before="0"/>
        <w:ind w:left="0" w:firstLine="0"/>
        <w:jc w:val="left"/>
      </w:pPr>
    </w:p>
    <w:p>
      <w:pPr>
        <w:spacing w:line="249" w:lineRule="auto" w:before="0"/>
        <w:ind w:left="255" w:right="1105" w:firstLine="0"/>
        <w:jc w:val="both"/>
        <w:rPr>
          <w:i/>
          <w:sz w:val="20"/>
        </w:rPr>
      </w:pPr>
      <w:bookmarkStart w:name="Disposición transitoria cuarta. Porcenta" w:id="122"/>
      <w:bookmarkEnd w:id="122"/>
      <w:r>
        <w:rPr/>
      </w:r>
      <w:bookmarkStart w:name="_bookmark59" w:id="123"/>
      <w:bookmarkEnd w:id="123"/>
      <w:r>
        <w:rPr/>
      </w:r>
      <w:r>
        <w:rPr>
          <w:b/>
          <w:sz w:val="20"/>
        </w:rPr>
        <w:t>Disposición transitoria cuarta.</w:t>
      </w:r>
      <w:r>
        <w:rPr>
          <w:b/>
          <w:spacing w:val="80"/>
          <w:sz w:val="20"/>
        </w:rPr>
        <w:t> </w:t>
      </w:r>
      <w:r>
        <w:rPr>
          <w:i/>
          <w:sz w:val="20"/>
        </w:rPr>
        <w:t>Porcentajes de deducción en la cuota del Impuesto sobre</w:t>
      </w:r>
      <w:r>
        <w:rPr>
          <w:i/>
          <w:spacing w:val="40"/>
          <w:sz w:val="20"/>
        </w:rPr>
        <w:t> </w:t>
      </w:r>
      <w:r>
        <w:rPr>
          <w:i/>
          <w:sz w:val="20"/>
        </w:rPr>
        <w:t>la Renta de las Personas Físicas y del Impuesto sobre Sociedades.</w:t>
      </w:r>
    </w:p>
    <w:p>
      <w:pPr>
        <w:pStyle w:val="BodyText"/>
        <w:spacing w:line="249" w:lineRule="auto" w:before="115"/>
        <w:ind w:right="1103"/>
      </w:pPr>
      <w:r>
        <w:rPr/>
        <w:t>Durante el período impositivo 2015 el porcentaje de deducción para bases de deducción de hasta 150 euros a que se refiere el apartado 1 del artículo 19 de esta Ley, será del 50 por ciento, y el aplicable al resto de la base de la deducción, el 27,5 por ciento. Cuando resulte de aplicación lo dispuesto en el último párrafo de dicho apartado, el porcentaje de deducción a aplicar será el 32,5 por ciento.</w:t>
      </w:r>
    </w:p>
    <w:p>
      <w:pPr>
        <w:pStyle w:val="BodyText"/>
        <w:spacing w:line="249" w:lineRule="auto" w:before="4"/>
        <w:ind w:right="1104"/>
      </w:pPr>
      <w:r>
        <w:rPr/>
        <w:t>En los períodos impositivos que se inicien en el año 2015, el porcentaje de deducción a que se refiere el segundo párrafo del apartado 1 del artículo 20 de esta Ley, será del 37,5</w:t>
      </w:r>
      <w:r>
        <w:rPr>
          <w:spacing w:val="40"/>
        </w:rPr>
        <w:t> </w:t>
      </w:r>
      <w:r>
        <w:rPr/>
        <w:t>por ciento.</w:t>
      </w:r>
    </w:p>
    <w:p>
      <w:pPr>
        <w:pStyle w:val="Heading2"/>
        <w:spacing w:before="230"/>
        <w:ind w:left="255" w:right="0"/>
        <w:jc w:val="left"/>
      </w:pPr>
      <w:bookmarkStart w:name="[Disposiciones derogatorias]" w:id="124"/>
      <w:bookmarkEnd w:id="124"/>
      <w:r>
        <w:rPr>
          <w:b w:val="0"/>
        </w:rPr>
      </w:r>
      <w:bookmarkStart w:name="Disposición derogatoria única." w:id="125"/>
      <w:bookmarkEnd w:id="125"/>
      <w:r>
        <w:rPr>
          <w:b w:val="0"/>
        </w:rPr>
      </w:r>
      <w:bookmarkStart w:name="_bookmark60" w:id="126"/>
      <w:bookmarkEnd w:id="126"/>
      <w:r>
        <w:rPr>
          <w:b w:val="0"/>
        </w:rPr>
      </w:r>
      <w:r>
        <w:rPr/>
        <w:t>Disposición</w:t>
      </w:r>
      <w:r>
        <w:rPr>
          <w:spacing w:val="-5"/>
        </w:rPr>
        <w:t> </w:t>
      </w:r>
      <w:r>
        <w:rPr/>
        <w:t>derogatoria</w:t>
      </w:r>
      <w:r>
        <w:rPr>
          <w:spacing w:val="-5"/>
        </w:rPr>
        <w:t> </w:t>
      </w:r>
      <w:r>
        <w:rPr>
          <w:spacing w:val="-2"/>
        </w:rPr>
        <w:t>única.</w:t>
      </w:r>
    </w:p>
    <w:p>
      <w:pPr>
        <w:pStyle w:val="BodyText"/>
        <w:spacing w:line="249" w:lineRule="auto" w:before="123"/>
        <w:ind w:right="1102"/>
      </w:pPr>
      <w:r>
        <w:rPr/>
        <w:t>A la entrada en vigor de esta Ley quedarán derogadas todas las disposiciones que se opongan a lo establecido en la misma y, en particular, el Título II y las disposiciones adicionales cuarta a séptima, novena a duodécima y decimoquinta y decimosexta de la Ley 30/1994, de 24 de noviembre, de Fundaciones y de Incentivos Fiscales a la Participación Privada en Actividades de Interés General.</w:t>
      </w:r>
    </w:p>
    <w:p>
      <w:pPr>
        <w:pStyle w:val="BodyText"/>
        <w:spacing w:before="1"/>
        <w:ind w:left="0" w:firstLine="0"/>
        <w:jc w:val="left"/>
      </w:pPr>
    </w:p>
    <w:p>
      <w:pPr>
        <w:spacing w:before="0"/>
        <w:ind w:left="255" w:right="0" w:firstLine="0"/>
        <w:jc w:val="left"/>
        <w:rPr>
          <w:i/>
          <w:sz w:val="20"/>
        </w:rPr>
      </w:pPr>
      <w:bookmarkStart w:name="[Disposiciones finales]" w:id="127"/>
      <w:bookmarkEnd w:id="127"/>
      <w:r>
        <w:rPr/>
      </w:r>
      <w:bookmarkStart w:name="Disposición final primera. Habilitación " w:id="128"/>
      <w:bookmarkEnd w:id="128"/>
      <w:r>
        <w:rPr/>
      </w:r>
      <w:bookmarkStart w:name="_bookmark61" w:id="129"/>
      <w:bookmarkEnd w:id="129"/>
      <w:r>
        <w:rPr/>
      </w:r>
      <w:r>
        <w:rPr>
          <w:b/>
          <w:sz w:val="20"/>
        </w:rPr>
        <w:t>Disposición</w:t>
      </w:r>
      <w:r>
        <w:rPr>
          <w:b/>
          <w:spacing w:val="-2"/>
          <w:sz w:val="20"/>
        </w:rPr>
        <w:t> </w:t>
      </w:r>
      <w:r>
        <w:rPr>
          <w:b/>
          <w:sz w:val="20"/>
        </w:rPr>
        <w:t>final</w:t>
      </w:r>
      <w:r>
        <w:rPr>
          <w:b/>
          <w:spacing w:val="-1"/>
          <w:sz w:val="20"/>
        </w:rPr>
        <w:t> </w:t>
      </w:r>
      <w:r>
        <w:rPr>
          <w:b/>
          <w:sz w:val="20"/>
        </w:rPr>
        <w:t>primera.</w:t>
      </w:r>
      <w:r>
        <w:rPr>
          <w:b/>
          <w:spacing w:val="52"/>
          <w:sz w:val="20"/>
        </w:rPr>
        <w:t> </w:t>
      </w:r>
      <w:r>
        <w:rPr>
          <w:i/>
          <w:sz w:val="20"/>
        </w:rPr>
        <w:t>Habilitación</w:t>
      </w:r>
      <w:r>
        <w:rPr>
          <w:i/>
          <w:spacing w:val="-2"/>
          <w:sz w:val="20"/>
        </w:rPr>
        <w:t> </w:t>
      </w:r>
      <w:r>
        <w:rPr>
          <w:i/>
          <w:sz w:val="20"/>
        </w:rPr>
        <w:t>a</w:t>
      </w:r>
      <w:r>
        <w:rPr>
          <w:i/>
          <w:spacing w:val="-1"/>
          <w:sz w:val="20"/>
        </w:rPr>
        <w:t> </w:t>
      </w:r>
      <w:r>
        <w:rPr>
          <w:i/>
          <w:sz w:val="20"/>
        </w:rPr>
        <w:t>la</w:t>
      </w:r>
      <w:r>
        <w:rPr>
          <w:i/>
          <w:spacing w:val="-1"/>
          <w:sz w:val="20"/>
        </w:rPr>
        <w:t> </w:t>
      </w:r>
      <w:r>
        <w:rPr>
          <w:i/>
          <w:sz w:val="20"/>
        </w:rPr>
        <w:t>Ley</w:t>
      </w:r>
      <w:r>
        <w:rPr>
          <w:i/>
          <w:spacing w:val="-1"/>
          <w:sz w:val="20"/>
        </w:rPr>
        <w:t> </w:t>
      </w:r>
      <w:r>
        <w:rPr>
          <w:i/>
          <w:sz w:val="20"/>
        </w:rPr>
        <w:t>de</w:t>
      </w:r>
      <w:r>
        <w:rPr>
          <w:i/>
          <w:spacing w:val="-2"/>
          <w:sz w:val="20"/>
        </w:rPr>
        <w:t> </w:t>
      </w:r>
      <w:r>
        <w:rPr>
          <w:i/>
          <w:sz w:val="20"/>
        </w:rPr>
        <w:t>Presupuestos</w:t>
      </w:r>
      <w:r>
        <w:rPr>
          <w:i/>
          <w:spacing w:val="-1"/>
          <w:sz w:val="20"/>
        </w:rPr>
        <w:t> </w:t>
      </w:r>
      <w:r>
        <w:rPr>
          <w:i/>
          <w:sz w:val="20"/>
        </w:rPr>
        <w:t>Generales</w:t>
      </w:r>
      <w:r>
        <w:rPr>
          <w:i/>
          <w:spacing w:val="-1"/>
          <w:sz w:val="20"/>
        </w:rPr>
        <w:t> </w:t>
      </w:r>
      <w:r>
        <w:rPr>
          <w:i/>
          <w:sz w:val="20"/>
        </w:rPr>
        <w:t>del</w:t>
      </w:r>
      <w:r>
        <w:rPr>
          <w:i/>
          <w:spacing w:val="-1"/>
          <w:sz w:val="20"/>
        </w:rPr>
        <w:t> </w:t>
      </w:r>
      <w:r>
        <w:rPr>
          <w:i/>
          <w:spacing w:val="-2"/>
          <w:sz w:val="20"/>
        </w:rPr>
        <w:t>Estado.</w:t>
      </w:r>
    </w:p>
    <w:p>
      <w:pPr>
        <w:pStyle w:val="BodyText"/>
        <w:spacing w:line="249" w:lineRule="auto" w:before="123"/>
        <w:ind w:right="1105"/>
      </w:pPr>
      <w:r>
        <w:rPr/>
        <w:t>La Ley de Presupuestos Generales del Estado, de conformidad con lo previsto en el artículo 134.7 de la Constitución Española, podrá:</w:t>
      </w:r>
    </w:p>
    <w:p>
      <w:pPr>
        <w:pStyle w:val="ListParagraph"/>
        <w:numPr>
          <w:ilvl w:val="0"/>
          <w:numId w:val="25"/>
        </w:numPr>
        <w:tabs>
          <w:tab w:pos="828" w:val="left" w:leader="none"/>
        </w:tabs>
        <w:spacing w:line="240" w:lineRule="auto" w:before="122" w:after="0"/>
        <w:ind w:left="828" w:right="0" w:hanging="233"/>
        <w:jc w:val="left"/>
        <w:rPr>
          <w:sz w:val="20"/>
        </w:rPr>
      </w:pPr>
      <w:r>
        <w:rPr>
          <w:sz w:val="20"/>
        </w:rPr>
        <w:t>Modificar</w:t>
      </w:r>
      <w:r>
        <w:rPr>
          <w:spacing w:val="-2"/>
          <w:sz w:val="20"/>
        </w:rPr>
        <w:t> </w:t>
      </w:r>
      <w:r>
        <w:rPr>
          <w:sz w:val="20"/>
        </w:rPr>
        <w:t>el</w:t>
      </w:r>
      <w:r>
        <w:rPr>
          <w:spacing w:val="-1"/>
          <w:sz w:val="20"/>
        </w:rPr>
        <w:t> </w:t>
      </w:r>
      <w:r>
        <w:rPr>
          <w:sz w:val="20"/>
        </w:rPr>
        <w:t>tipo</w:t>
      </w:r>
      <w:r>
        <w:rPr>
          <w:spacing w:val="-2"/>
          <w:sz w:val="20"/>
        </w:rPr>
        <w:t> </w:t>
      </w:r>
      <w:r>
        <w:rPr>
          <w:sz w:val="20"/>
        </w:rPr>
        <w:t>de</w:t>
      </w:r>
      <w:r>
        <w:rPr>
          <w:spacing w:val="-1"/>
          <w:sz w:val="20"/>
        </w:rPr>
        <w:t> </w:t>
      </w:r>
      <w:r>
        <w:rPr>
          <w:sz w:val="20"/>
        </w:rPr>
        <w:t>gravamen</w:t>
      </w:r>
      <w:r>
        <w:rPr>
          <w:spacing w:val="-2"/>
          <w:sz w:val="20"/>
        </w:rPr>
        <w:t> </w:t>
      </w:r>
      <w:r>
        <w:rPr>
          <w:sz w:val="20"/>
        </w:rPr>
        <w:t>de</w:t>
      </w:r>
      <w:r>
        <w:rPr>
          <w:spacing w:val="-1"/>
          <w:sz w:val="20"/>
        </w:rPr>
        <w:t> </w:t>
      </w:r>
      <w:r>
        <w:rPr>
          <w:sz w:val="20"/>
        </w:rPr>
        <w:t>las</w:t>
      </w:r>
      <w:r>
        <w:rPr>
          <w:spacing w:val="-2"/>
          <w:sz w:val="20"/>
        </w:rPr>
        <w:t> </w:t>
      </w:r>
      <w:r>
        <w:rPr>
          <w:sz w:val="20"/>
        </w:rPr>
        <w:t>entidades</w:t>
      </w:r>
      <w:r>
        <w:rPr>
          <w:spacing w:val="-1"/>
          <w:sz w:val="20"/>
        </w:rPr>
        <w:t> </w:t>
      </w:r>
      <w:r>
        <w:rPr>
          <w:sz w:val="20"/>
        </w:rPr>
        <w:t>sin</w:t>
      </w:r>
      <w:r>
        <w:rPr>
          <w:spacing w:val="-2"/>
          <w:sz w:val="20"/>
        </w:rPr>
        <w:t> </w:t>
      </w:r>
      <w:r>
        <w:rPr>
          <w:sz w:val="20"/>
        </w:rPr>
        <w:t>fines</w:t>
      </w:r>
      <w:r>
        <w:rPr>
          <w:spacing w:val="-1"/>
          <w:sz w:val="20"/>
        </w:rPr>
        <w:t> </w:t>
      </w:r>
      <w:r>
        <w:rPr>
          <w:spacing w:val="-2"/>
          <w:sz w:val="20"/>
        </w:rPr>
        <w:t>lucrativos.</w:t>
      </w:r>
    </w:p>
    <w:p>
      <w:pPr>
        <w:pStyle w:val="ListParagraph"/>
        <w:spacing w:after="0" w:line="240" w:lineRule="auto"/>
        <w:jc w:val="left"/>
        <w:rPr>
          <w:sz w:val="20"/>
        </w:rPr>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ListParagraph"/>
        <w:numPr>
          <w:ilvl w:val="0"/>
          <w:numId w:val="25"/>
        </w:numPr>
        <w:tabs>
          <w:tab w:pos="854" w:val="left" w:leader="none"/>
        </w:tabs>
        <w:spacing w:line="249" w:lineRule="auto" w:before="1" w:after="0"/>
        <w:ind w:left="255" w:right="1103" w:firstLine="340"/>
        <w:jc w:val="left"/>
        <w:rPr>
          <w:sz w:val="20"/>
        </w:rPr>
      </w:pPr>
      <w:r>
        <w:rPr>
          <w:sz w:val="20"/>
        </w:rPr>
        <w:t>Modificar los porcentajes de deducción y los límites cuantitativos para su aplicación</w:t>
      </w:r>
      <w:r>
        <w:rPr>
          <w:spacing w:val="80"/>
          <w:sz w:val="20"/>
        </w:rPr>
        <w:t> </w:t>
      </w:r>
      <w:r>
        <w:rPr>
          <w:sz w:val="20"/>
        </w:rPr>
        <w:t>previstos en esta Ley.</w:t>
      </w:r>
    </w:p>
    <w:p>
      <w:pPr>
        <w:pStyle w:val="ListParagraph"/>
        <w:numPr>
          <w:ilvl w:val="0"/>
          <w:numId w:val="25"/>
        </w:numPr>
        <w:tabs>
          <w:tab w:pos="831" w:val="left" w:leader="none"/>
        </w:tabs>
        <w:spacing w:line="249" w:lineRule="auto" w:before="1" w:after="0"/>
        <w:ind w:left="255" w:right="1103" w:firstLine="340"/>
        <w:jc w:val="left"/>
        <w:rPr>
          <w:sz w:val="20"/>
        </w:rPr>
      </w:pPr>
      <w:r>
        <w:rPr>
          <w:sz w:val="20"/>
        </w:rPr>
        <w:t>Determinar los acontecimientos de excepcional interés público y regular los extremos</w:t>
      </w:r>
      <w:r>
        <w:rPr>
          <w:spacing w:val="40"/>
          <w:sz w:val="20"/>
        </w:rPr>
        <w:t> </w:t>
      </w:r>
      <w:r>
        <w:rPr>
          <w:sz w:val="20"/>
        </w:rPr>
        <w:t>a que se refiere el apartado 2 del artículo 27 de esta Ley.</w:t>
      </w:r>
    </w:p>
    <w:p>
      <w:pPr>
        <w:spacing w:before="229"/>
        <w:ind w:left="255" w:right="0" w:firstLine="0"/>
        <w:jc w:val="left"/>
        <w:rPr>
          <w:i/>
          <w:sz w:val="20"/>
        </w:rPr>
      </w:pPr>
      <w:bookmarkStart w:name="Disposición final segunda. Habilitación " w:id="130"/>
      <w:bookmarkEnd w:id="130"/>
      <w:r>
        <w:rPr/>
      </w:r>
      <w:bookmarkStart w:name="_bookmark62" w:id="131"/>
      <w:bookmarkEnd w:id="131"/>
      <w:r>
        <w:rPr/>
      </w:r>
      <w:r>
        <w:rPr>
          <w:b/>
          <w:sz w:val="20"/>
        </w:rPr>
        <w:t>Disposición</w:t>
      </w:r>
      <w:r>
        <w:rPr>
          <w:b/>
          <w:spacing w:val="-3"/>
          <w:sz w:val="20"/>
        </w:rPr>
        <w:t> </w:t>
      </w:r>
      <w:r>
        <w:rPr>
          <w:b/>
          <w:sz w:val="20"/>
        </w:rPr>
        <w:t>final</w:t>
      </w:r>
      <w:r>
        <w:rPr>
          <w:b/>
          <w:spacing w:val="-2"/>
          <w:sz w:val="20"/>
        </w:rPr>
        <w:t> </w:t>
      </w:r>
      <w:r>
        <w:rPr>
          <w:b/>
          <w:sz w:val="20"/>
        </w:rPr>
        <w:t>segunda.</w:t>
      </w:r>
      <w:r>
        <w:rPr>
          <w:b/>
          <w:spacing w:val="50"/>
          <w:sz w:val="20"/>
        </w:rPr>
        <w:t> </w:t>
      </w:r>
      <w:r>
        <w:rPr>
          <w:i/>
          <w:sz w:val="20"/>
        </w:rPr>
        <w:t>Habilitación</w:t>
      </w:r>
      <w:r>
        <w:rPr>
          <w:i/>
          <w:spacing w:val="-2"/>
          <w:sz w:val="20"/>
        </w:rPr>
        <w:t> normativa.</w:t>
      </w:r>
    </w:p>
    <w:p>
      <w:pPr>
        <w:pStyle w:val="BodyText"/>
        <w:spacing w:line="249" w:lineRule="auto" w:before="123"/>
        <w:ind w:right="1104"/>
      </w:pPr>
      <w:r>
        <w:rPr/>
        <w:t>Se autoriza al Gobierno a dictar las disposiciones necesarias para el desarrollo y ejecución de esta Ley.</w:t>
      </w:r>
    </w:p>
    <w:p>
      <w:pPr>
        <w:spacing w:before="229"/>
        <w:ind w:left="255" w:right="0" w:firstLine="0"/>
        <w:jc w:val="left"/>
        <w:rPr>
          <w:i/>
          <w:sz w:val="20"/>
        </w:rPr>
      </w:pPr>
      <w:bookmarkStart w:name="Disposición final tercera. Entrada en vi" w:id="132"/>
      <w:bookmarkEnd w:id="132"/>
      <w:r>
        <w:rPr/>
      </w:r>
      <w:bookmarkStart w:name="_bookmark63" w:id="133"/>
      <w:bookmarkEnd w:id="133"/>
      <w:r>
        <w:rPr/>
      </w:r>
      <w:r>
        <w:rPr>
          <w:b/>
          <w:sz w:val="20"/>
        </w:rPr>
        <w:t>Disposición</w:t>
      </w:r>
      <w:r>
        <w:rPr>
          <w:b/>
          <w:spacing w:val="-2"/>
          <w:sz w:val="20"/>
        </w:rPr>
        <w:t> </w:t>
      </w:r>
      <w:r>
        <w:rPr>
          <w:b/>
          <w:sz w:val="20"/>
        </w:rPr>
        <w:t>final</w:t>
      </w:r>
      <w:r>
        <w:rPr>
          <w:b/>
          <w:spacing w:val="-1"/>
          <w:sz w:val="20"/>
        </w:rPr>
        <w:t> </w:t>
      </w:r>
      <w:r>
        <w:rPr>
          <w:b/>
          <w:sz w:val="20"/>
        </w:rPr>
        <w:t>tercera.</w:t>
      </w:r>
      <w:r>
        <w:rPr>
          <w:b/>
          <w:spacing w:val="52"/>
          <w:sz w:val="20"/>
        </w:rPr>
        <w:t> </w:t>
      </w:r>
      <w:r>
        <w:rPr>
          <w:i/>
          <w:sz w:val="20"/>
        </w:rPr>
        <w:t>Entrada</w:t>
      </w:r>
      <w:r>
        <w:rPr>
          <w:i/>
          <w:spacing w:val="-1"/>
          <w:sz w:val="20"/>
        </w:rPr>
        <w:t> </w:t>
      </w:r>
      <w:r>
        <w:rPr>
          <w:i/>
          <w:sz w:val="20"/>
        </w:rPr>
        <w:t>en</w:t>
      </w:r>
      <w:r>
        <w:rPr>
          <w:i/>
          <w:spacing w:val="-1"/>
          <w:sz w:val="20"/>
        </w:rPr>
        <w:t> </w:t>
      </w:r>
      <w:r>
        <w:rPr>
          <w:i/>
          <w:spacing w:val="-2"/>
          <w:sz w:val="20"/>
        </w:rPr>
        <w:t>vigor.</w:t>
      </w:r>
    </w:p>
    <w:p>
      <w:pPr>
        <w:pStyle w:val="BodyText"/>
        <w:spacing w:line="249" w:lineRule="auto" w:before="123"/>
        <w:ind w:right="1107"/>
      </w:pPr>
      <w:r>
        <w:rPr/>
        <w:t>Esta Ley entrará en vigor el día siguiente al de su publicación en el «Boletín Oficial del </w:t>
      </w:r>
      <w:r>
        <w:rPr>
          <w:spacing w:val="-2"/>
        </w:rPr>
        <w:t>Estado».</w:t>
      </w:r>
    </w:p>
    <w:p>
      <w:pPr>
        <w:pStyle w:val="BodyText"/>
        <w:spacing w:line="249" w:lineRule="auto"/>
        <w:ind w:right="1104"/>
      </w:pPr>
      <w:r>
        <w:rPr/>
        <w:t>Las disposiciones relativas al Impuesto sobre Sociedades, al Impuesto sobre Bienes Inmuebles y al Impuesto sobre Actividades Económicas surtirán efectos sólo para los períodos impositivos que se inicien a partir de la entrada en vigor de la Ley.</w:t>
      </w:r>
    </w:p>
    <w:p>
      <w:pPr>
        <w:pStyle w:val="BodyText"/>
        <w:spacing w:line="249" w:lineRule="auto" w:before="122"/>
        <w:ind w:right="1102"/>
      </w:pPr>
      <w:bookmarkStart w:name="[Firma]" w:id="134"/>
      <w:bookmarkEnd w:id="134"/>
      <w:r>
        <w:rPr/>
      </w:r>
      <w:r>
        <w:rPr/>
        <w:t>Por</w:t>
      </w:r>
      <w:r>
        <w:rPr>
          <w:spacing w:val="-2"/>
        </w:rPr>
        <w:t> </w:t>
      </w:r>
      <w:r>
        <w:rPr/>
        <w:t>tanto,</w:t>
      </w:r>
      <w:r>
        <w:rPr>
          <w:spacing w:val="-2"/>
        </w:rPr>
        <w:t> </w:t>
      </w:r>
      <w:r>
        <w:rPr/>
        <w:t>Mando</w:t>
      </w:r>
      <w:r>
        <w:rPr>
          <w:spacing w:val="-2"/>
        </w:rPr>
        <w:t> </w:t>
      </w:r>
      <w:r>
        <w:rPr/>
        <w:t>a</w:t>
      </w:r>
      <w:r>
        <w:rPr>
          <w:spacing w:val="-2"/>
        </w:rPr>
        <w:t> </w:t>
      </w:r>
      <w:r>
        <w:rPr/>
        <w:t>todos</w:t>
      </w:r>
      <w:r>
        <w:rPr>
          <w:spacing w:val="-2"/>
        </w:rPr>
        <w:t> </w:t>
      </w:r>
      <w:r>
        <w:rPr/>
        <w:t>los</w:t>
      </w:r>
      <w:r>
        <w:rPr>
          <w:spacing w:val="-2"/>
        </w:rPr>
        <w:t> </w:t>
      </w:r>
      <w:r>
        <w:rPr/>
        <w:t>españoles,</w:t>
      </w:r>
      <w:r>
        <w:rPr>
          <w:spacing w:val="-2"/>
        </w:rPr>
        <w:t> </w:t>
      </w:r>
      <w:r>
        <w:rPr/>
        <w:t>particulares</w:t>
      </w:r>
      <w:r>
        <w:rPr>
          <w:spacing w:val="-2"/>
        </w:rPr>
        <w:t> </w:t>
      </w:r>
      <w:r>
        <w:rPr/>
        <w:t>y</w:t>
      </w:r>
      <w:r>
        <w:rPr>
          <w:spacing w:val="-2"/>
        </w:rPr>
        <w:t> </w:t>
      </w:r>
      <w:r>
        <w:rPr/>
        <w:t>autoridades,</w:t>
      </w:r>
      <w:r>
        <w:rPr>
          <w:spacing w:val="-2"/>
        </w:rPr>
        <w:t> </w:t>
      </w:r>
      <w:r>
        <w:rPr/>
        <w:t>que</w:t>
      </w:r>
      <w:r>
        <w:rPr>
          <w:spacing w:val="-2"/>
        </w:rPr>
        <w:t> </w:t>
      </w:r>
      <w:r>
        <w:rPr/>
        <w:t>guarden</w:t>
      </w:r>
      <w:r>
        <w:rPr>
          <w:spacing w:val="-2"/>
        </w:rPr>
        <w:t> </w:t>
      </w:r>
      <w:r>
        <w:rPr/>
        <w:t>y</w:t>
      </w:r>
      <w:r>
        <w:rPr>
          <w:spacing w:val="-2"/>
        </w:rPr>
        <w:t> </w:t>
      </w:r>
      <w:r>
        <w:rPr/>
        <w:t>hagan guardar esta Ley.</w:t>
      </w:r>
    </w:p>
    <w:p>
      <w:pPr>
        <w:pStyle w:val="BodyText"/>
        <w:spacing w:before="122"/>
        <w:ind w:left="595" w:firstLine="0"/>
        <w:jc w:val="left"/>
      </w:pPr>
      <w:r>
        <w:rPr/>
        <w:t>Madrid,</w:t>
      </w:r>
      <w:r>
        <w:rPr>
          <w:spacing w:val="-5"/>
        </w:rPr>
        <w:t> </w:t>
      </w:r>
      <w:r>
        <w:rPr/>
        <w:t>23</w:t>
      </w:r>
      <w:r>
        <w:rPr>
          <w:spacing w:val="-2"/>
        </w:rPr>
        <w:t> </w:t>
      </w:r>
      <w:r>
        <w:rPr/>
        <w:t>de</w:t>
      </w:r>
      <w:r>
        <w:rPr>
          <w:spacing w:val="-2"/>
        </w:rPr>
        <w:t> </w:t>
      </w:r>
      <w:r>
        <w:rPr/>
        <w:t>diciembre</w:t>
      </w:r>
      <w:r>
        <w:rPr>
          <w:spacing w:val="-2"/>
        </w:rPr>
        <w:t> </w:t>
      </w:r>
      <w:r>
        <w:rPr/>
        <w:t>de</w:t>
      </w:r>
      <w:r>
        <w:rPr>
          <w:spacing w:val="-2"/>
        </w:rPr>
        <w:t> 2002.</w:t>
      </w:r>
    </w:p>
    <w:p>
      <w:pPr>
        <w:pStyle w:val="BodyText"/>
        <w:spacing w:before="180"/>
        <w:ind w:left="0" w:right="1104" w:firstLine="0"/>
        <w:jc w:val="right"/>
      </w:pPr>
      <w:r>
        <w:rPr/>
        <w:t>JUAN</w:t>
      </w:r>
      <w:r>
        <w:rPr>
          <w:spacing w:val="-4"/>
        </w:rPr>
        <w:t> </w:t>
      </w:r>
      <w:r>
        <w:rPr/>
        <w:t>CARLOS</w:t>
      </w:r>
      <w:r>
        <w:rPr>
          <w:spacing w:val="-1"/>
        </w:rPr>
        <w:t> </w:t>
      </w:r>
      <w:r>
        <w:rPr>
          <w:spacing w:val="-5"/>
        </w:rPr>
        <w:t>R.</w:t>
      </w:r>
    </w:p>
    <w:p>
      <w:pPr>
        <w:spacing w:line="261" w:lineRule="auto" w:before="127"/>
        <w:ind w:left="3229" w:right="4078" w:firstLine="0"/>
        <w:jc w:val="center"/>
        <w:rPr>
          <w:sz w:val="16"/>
        </w:rPr>
      </w:pPr>
      <w:r>
        <w:rPr>
          <w:sz w:val="16"/>
        </w:rPr>
        <w:t>El Presidente del Gobierno, JOSÉ</w:t>
      </w:r>
      <w:r>
        <w:rPr>
          <w:spacing w:val="-12"/>
          <w:sz w:val="16"/>
        </w:rPr>
        <w:t> </w:t>
      </w:r>
      <w:r>
        <w:rPr>
          <w:sz w:val="16"/>
        </w:rPr>
        <w:t>MARÍA</w:t>
      </w:r>
      <w:r>
        <w:rPr>
          <w:spacing w:val="-11"/>
          <w:sz w:val="16"/>
        </w:rPr>
        <w:t> </w:t>
      </w:r>
      <w:r>
        <w:rPr>
          <w:sz w:val="16"/>
        </w:rPr>
        <w:t>AZNAR</w:t>
      </w:r>
      <w:r>
        <w:rPr>
          <w:spacing w:val="-11"/>
          <w:sz w:val="16"/>
        </w:rPr>
        <w:t> </w:t>
      </w:r>
      <w:r>
        <w:rPr>
          <w:sz w:val="16"/>
        </w:rPr>
        <w:t>LÓPEZ</w:t>
      </w:r>
    </w:p>
    <w:p>
      <w:pPr>
        <w:pStyle w:val="BodyText"/>
        <w:spacing w:before="218"/>
        <w:ind w:left="0" w:firstLine="0"/>
        <w:jc w:val="left"/>
      </w:pPr>
    </w:p>
    <w:p>
      <w:pPr>
        <w:pStyle w:val="Heading2"/>
        <w:spacing w:before="1"/>
      </w:pPr>
      <w:bookmarkStart w:name="ANEXO" w:id="135"/>
      <w:bookmarkEnd w:id="135"/>
      <w:r>
        <w:rPr>
          <w:b w:val="0"/>
        </w:rPr>
      </w:r>
      <w:bookmarkStart w:name="_bookmark64" w:id="136"/>
      <w:bookmarkEnd w:id="136"/>
      <w:r>
        <w:rPr>
          <w:b w:val="0"/>
        </w:rPr>
      </w:r>
      <w:r>
        <w:rPr>
          <w:spacing w:val="-2"/>
        </w:rPr>
        <w:t>ANEXO</w:t>
      </w:r>
    </w:p>
    <w:p>
      <w:pPr>
        <w:pStyle w:val="BodyText"/>
        <w:spacing w:line="249" w:lineRule="auto" w:before="123"/>
        <w:ind w:right="1185"/>
        <w:jc w:val="left"/>
      </w:pPr>
      <w:r>
        <w:rPr/>
        <w:t>Ciudades y conjuntos arquitectónicos, arqueológicos, naturales o paisajísticos y </w:t>
      </w:r>
      <w:r>
        <w:rPr/>
        <w:t>bienes declarados Patrimonio Mundial por la Unesco situados en España:</w:t>
      </w:r>
    </w:p>
    <w:p>
      <w:pPr>
        <w:pStyle w:val="BodyText"/>
        <w:spacing w:line="249" w:lineRule="auto" w:before="122"/>
        <w:ind w:left="595" w:right="4798" w:firstLine="0"/>
        <w:jc w:val="left"/>
      </w:pPr>
      <w:r>
        <w:rPr/>
        <w:t>Parque</w:t>
      </w:r>
      <w:r>
        <w:rPr>
          <w:spacing w:val="-5"/>
        </w:rPr>
        <w:t> </w:t>
      </w:r>
      <w:r>
        <w:rPr/>
        <w:t>y</w:t>
      </w:r>
      <w:r>
        <w:rPr>
          <w:spacing w:val="-5"/>
        </w:rPr>
        <w:t> </w:t>
      </w:r>
      <w:r>
        <w:rPr/>
        <w:t>Palacio</w:t>
      </w:r>
      <w:r>
        <w:rPr>
          <w:spacing w:val="-5"/>
        </w:rPr>
        <w:t> </w:t>
      </w:r>
      <w:r>
        <w:rPr/>
        <w:t>Güell</w:t>
      </w:r>
      <w:r>
        <w:rPr>
          <w:spacing w:val="-5"/>
        </w:rPr>
        <w:t> </w:t>
      </w:r>
      <w:r>
        <w:rPr/>
        <w:t>y</w:t>
      </w:r>
      <w:r>
        <w:rPr>
          <w:spacing w:val="-5"/>
        </w:rPr>
        <w:t> </w:t>
      </w:r>
      <w:r>
        <w:rPr/>
        <w:t>Casa</w:t>
      </w:r>
      <w:r>
        <w:rPr>
          <w:spacing w:val="-5"/>
        </w:rPr>
        <w:t> </w:t>
      </w:r>
      <w:r>
        <w:rPr/>
        <w:t>Milà,</w:t>
      </w:r>
      <w:r>
        <w:rPr>
          <w:spacing w:val="-5"/>
        </w:rPr>
        <w:t> </w:t>
      </w:r>
      <w:r>
        <w:rPr/>
        <w:t>Barcelona. Monasterio y Sitio de El Escorial, Madrid.</w:t>
      </w:r>
    </w:p>
    <w:p>
      <w:pPr>
        <w:pStyle w:val="BodyText"/>
        <w:spacing w:before="1"/>
        <w:ind w:left="595" w:firstLine="0"/>
        <w:jc w:val="left"/>
      </w:pPr>
      <w:r>
        <w:rPr/>
        <w:t>Catedral</w:t>
      </w:r>
      <w:r>
        <w:rPr>
          <w:spacing w:val="-4"/>
        </w:rPr>
        <w:t> </w:t>
      </w:r>
      <w:r>
        <w:rPr/>
        <w:t>de</w:t>
      </w:r>
      <w:r>
        <w:rPr>
          <w:spacing w:val="-4"/>
        </w:rPr>
        <w:t> </w:t>
      </w:r>
      <w:r>
        <w:rPr>
          <w:spacing w:val="-2"/>
        </w:rPr>
        <w:t>Burgos.</w:t>
      </w:r>
    </w:p>
    <w:p>
      <w:pPr>
        <w:pStyle w:val="BodyText"/>
        <w:spacing w:line="249" w:lineRule="auto" w:before="10"/>
        <w:ind w:left="595" w:right="4798" w:firstLine="0"/>
        <w:jc w:val="left"/>
      </w:pPr>
      <w:r>
        <w:rPr/>
        <w:t>Alhambra,</w:t>
      </w:r>
      <w:r>
        <w:rPr>
          <w:spacing w:val="-8"/>
        </w:rPr>
        <w:t> </w:t>
      </w:r>
      <w:r>
        <w:rPr/>
        <w:t>Generalife</w:t>
      </w:r>
      <w:r>
        <w:rPr>
          <w:spacing w:val="-8"/>
        </w:rPr>
        <w:t> </w:t>
      </w:r>
      <w:r>
        <w:rPr/>
        <w:t>y</w:t>
      </w:r>
      <w:r>
        <w:rPr>
          <w:spacing w:val="-8"/>
        </w:rPr>
        <w:t> </w:t>
      </w:r>
      <w:r>
        <w:rPr/>
        <w:t>Albaicín,</w:t>
      </w:r>
      <w:r>
        <w:rPr>
          <w:spacing w:val="-8"/>
        </w:rPr>
        <w:t> </w:t>
      </w:r>
      <w:r>
        <w:rPr/>
        <w:t>Granada. Centro histórico de Córdoba.</w:t>
      </w:r>
    </w:p>
    <w:p>
      <w:pPr>
        <w:pStyle w:val="BodyText"/>
        <w:spacing w:line="249" w:lineRule="auto"/>
        <w:ind w:left="595" w:right="4798" w:firstLine="0"/>
        <w:jc w:val="left"/>
      </w:pPr>
      <w:r>
        <w:rPr/>
        <w:t>Monumentos</w:t>
      </w:r>
      <w:r>
        <w:rPr>
          <w:spacing w:val="-5"/>
        </w:rPr>
        <w:t> </w:t>
      </w:r>
      <w:r>
        <w:rPr/>
        <w:t>de</w:t>
      </w:r>
      <w:r>
        <w:rPr>
          <w:spacing w:val="-5"/>
        </w:rPr>
        <w:t> </w:t>
      </w:r>
      <w:r>
        <w:rPr/>
        <w:t>Oviedo</w:t>
      </w:r>
      <w:r>
        <w:rPr>
          <w:spacing w:val="-5"/>
        </w:rPr>
        <w:t> </w:t>
      </w:r>
      <w:r>
        <w:rPr/>
        <w:t>y</w:t>
      </w:r>
      <w:r>
        <w:rPr>
          <w:spacing w:val="-5"/>
        </w:rPr>
        <w:t> </w:t>
      </w:r>
      <w:r>
        <w:rPr/>
        <w:t>del</w:t>
      </w:r>
      <w:r>
        <w:rPr>
          <w:spacing w:val="-5"/>
        </w:rPr>
        <w:t> </w:t>
      </w:r>
      <w:r>
        <w:rPr/>
        <w:t>reino</w:t>
      </w:r>
      <w:r>
        <w:rPr>
          <w:spacing w:val="-5"/>
        </w:rPr>
        <w:t> </w:t>
      </w:r>
      <w:r>
        <w:rPr/>
        <w:t>de</w:t>
      </w:r>
      <w:r>
        <w:rPr>
          <w:spacing w:val="-5"/>
        </w:rPr>
        <w:t> </w:t>
      </w:r>
      <w:r>
        <w:rPr/>
        <w:t>Asturias. Cuevas de Altamira.</w:t>
      </w:r>
    </w:p>
    <w:p>
      <w:pPr>
        <w:pStyle w:val="BodyText"/>
        <w:spacing w:line="249" w:lineRule="auto"/>
        <w:ind w:left="595" w:right="4798" w:firstLine="0"/>
        <w:jc w:val="left"/>
      </w:pPr>
      <w:r>
        <w:rPr/>
        <w:t>Ciudad vieja de Segovia y su Acueducto. Ciudad vieja de Santiago de Compostela. Ciudad</w:t>
      </w:r>
      <w:r>
        <w:rPr>
          <w:spacing w:val="-6"/>
        </w:rPr>
        <w:t> </w:t>
      </w:r>
      <w:r>
        <w:rPr/>
        <w:t>vieja</w:t>
      </w:r>
      <w:r>
        <w:rPr>
          <w:spacing w:val="-6"/>
        </w:rPr>
        <w:t> </w:t>
      </w:r>
      <w:r>
        <w:rPr/>
        <w:t>de</w:t>
      </w:r>
      <w:r>
        <w:rPr>
          <w:spacing w:val="-6"/>
        </w:rPr>
        <w:t> </w:t>
      </w:r>
      <w:r>
        <w:rPr/>
        <w:t>Ávila</w:t>
      </w:r>
      <w:r>
        <w:rPr>
          <w:spacing w:val="-6"/>
        </w:rPr>
        <w:t> </w:t>
      </w:r>
      <w:r>
        <w:rPr/>
        <w:t>e</w:t>
      </w:r>
      <w:r>
        <w:rPr>
          <w:spacing w:val="-6"/>
        </w:rPr>
        <w:t> </w:t>
      </w:r>
      <w:r>
        <w:rPr/>
        <w:t>iglesias</w:t>
      </w:r>
      <w:r>
        <w:rPr>
          <w:spacing w:val="-6"/>
        </w:rPr>
        <w:t> </w:t>
      </w:r>
      <w:r>
        <w:rPr/>
        <w:t>extramuros. Arquitectura mudéjar de Aragón.</w:t>
      </w:r>
    </w:p>
    <w:p>
      <w:pPr>
        <w:pStyle w:val="BodyText"/>
        <w:spacing w:line="249" w:lineRule="auto" w:before="3"/>
        <w:ind w:left="595" w:right="6143" w:firstLine="0"/>
        <w:jc w:val="left"/>
      </w:pPr>
      <w:r>
        <w:rPr/>
        <w:t>Parque</w:t>
      </w:r>
      <w:r>
        <w:rPr>
          <w:spacing w:val="-14"/>
        </w:rPr>
        <w:t> </w:t>
      </w:r>
      <w:r>
        <w:rPr/>
        <w:t>nacional</w:t>
      </w:r>
      <w:r>
        <w:rPr>
          <w:spacing w:val="-14"/>
        </w:rPr>
        <w:t> </w:t>
      </w:r>
      <w:r>
        <w:rPr/>
        <w:t>de</w:t>
      </w:r>
      <w:r>
        <w:rPr>
          <w:spacing w:val="-14"/>
        </w:rPr>
        <w:t> </w:t>
      </w:r>
      <w:r>
        <w:rPr/>
        <w:t>Garajonay. Ciudad vieja de Cáceres.</w:t>
      </w:r>
    </w:p>
    <w:p>
      <w:pPr>
        <w:pStyle w:val="BodyText"/>
        <w:ind w:left="595" w:firstLine="0"/>
        <w:jc w:val="left"/>
      </w:pPr>
      <w:r>
        <w:rPr/>
        <w:t>Ciudad</w:t>
      </w:r>
      <w:r>
        <w:rPr>
          <w:spacing w:val="-5"/>
        </w:rPr>
        <w:t> </w:t>
      </w:r>
      <w:r>
        <w:rPr/>
        <w:t>histórica</w:t>
      </w:r>
      <w:r>
        <w:rPr>
          <w:spacing w:val="-5"/>
        </w:rPr>
        <w:t> </w:t>
      </w:r>
      <w:r>
        <w:rPr/>
        <w:t>de</w:t>
      </w:r>
      <w:r>
        <w:rPr>
          <w:spacing w:val="-4"/>
        </w:rPr>
        <w:t> </w:t>
      </w:r>
      <w:r>
        <w:rPr>
          <w:spacing w:val="-2"/>
        </w:rPr>
        <w:t>Toledo.</w:t>
      </w:r>
    </w:p>
    <w:p>
      <w:pPr>
        <w:pStyle w:val="BodyText"/>
        <w:spacing w:line="249" w:lineRule="auto" w:before="10"/>
        <w:ind w:left="595" w:right="4798" w:firstLine="0"/>
        <w:jc w:val="left"/>
      </w:pPr>
      <w:r>
        <w:rPr/>
        <w:t>Catedral,</w:t>
      </w:r>
      <w:r>
        <w:rPr>
          <w:spacing w:val="-6"/>
        </w:rPr>
        <w:t> </w:t>
      </w:r>
      <w:r>
        <w:rPr/>
        <w:t>Alcázar</w:t>
      </w:r>
      <w:r>
        <w:rPr>
          <w:spacing w:val="-6"/>
        </w:rPr>
        <w:t> </w:t>
      </w:r>
      <w:r>
        <w:rPr/>
        <w:t>y</w:t>
      </w:r>
      <w:r>
        <w:rPr>
          <w:spacing w:val="-6"/>
        </w:rPr>
        <w:t> </w:t>
      </w:r>
      <w:r>
        <w:rPr/>
        <w:t>Archivo</w:t>
      </w:r>
      <w:r>
        <w:rPr>
          <w:spacing w:val="-6"/>
        </w:rPr>
        <w:t> </w:t>
      </w:r>
      <w:r>
        <w:rPr/>
        <w:t>de</w:t>
      </w:r>
      <w:r>
        <w:rPr>
          <w:spacing w:val="-6"/>
        </w:rPr>
        <w:t> </w:t>
      </w:r>
      <w:r>
        <w:rPr/>
        <w:t>Indias,</w:t>
      </w:r>
      <w:r>
        <w:rPr>
          <w:spacing w:val="-6"/>
        </w:rPr>
        <w:t> </w:t>
      </w:r>
      <w:r>
        <w:rPr/>
        <w:t>Sevilla. Ciudad vieja de Salamanca.</w:t>
      </w:r>
    </w:p>
    <w:p>
      <w:pPr>
        <w:pStyle w:val="BodyText"/>
        <w:spacing w:before="1"/>
        <w:ind w:left="595" w:firstLine="0"/>
        <w:jc w:val="left"/>
      </w:pPr>
      <w:r>
        <w:rPr/>
        <w:t>Monasterio</w:t>
      </w:r>
      <w:r>
        <w:rPr>
          <w:spacing w:val="-5"/>
        </w:rPr>
        <w:t> </w:t>
      </w:r>
      <w:r>
        <w:rPr/>
        <w:t>de</w:t>
      </w:r>
      <w:r>
        <w:rPr>
          <w:spacing w:val="-5"/>
        </w:rPr>
        <w:t> </w:t>
      </w:r>
      <w:r>
        <w:rPr>
          <w:spacing w:val="-2"/>
        </w:rPr>
        <w:t>Poblet.</w:t>
      </w:r>
    </w:p>
    <w:p>
      <w:pPr>
        <w:pStyle w:val="BodyText"/>
        <w:spacing w:before="10"/>
        <w:ind w:left="595" w:firstLine="0"/>
        <w:jc w:val="left"/>
      </w:pPr>
      <w:r>
        <w:rPr/>
        <w:t>Conjunto</w:t>
      </w:r>
      <w:r>
        <w:rPr>
          <w:spacing w:val="-7"/>
        </w:rPr>
        <w:t> </w:t>
      </w:r>
      <w:r>
        <w:rPr/>
        <w:t>arqueológico</w:t>
      </w:r>
      <w:r>
        <w:rPr>
          <w:spacing w:val="-6"/>
        </w:rPr>
        <w:t> </w:t>
      </w:r>
      <w:r>
        <w:rPr/>
        <w:t>de</w:t>
      </w:r>
      <w:r>
        <w:rPr>
          <w:spacing w:val="-6"/>
        </w:rPr>
        <w:t> </w:t>
      </w:r>
      <w:r>
        <w:rPr>
          <w:spacing w:val="-2"/>
        </w:rPr>
        <w:t>Mérida.</w:t>
      </w:r>
    </w:p>
    <w:p>
      <w:pPr>
        <w:pStyle w:val="BodyText"/>
        <w:spacing w:line="249" w:lineRule="auto" w:before="10"/>
        <w:ind w:left="595" w:right="4444" w:firstLine="0"/>
        <w:jc w:val="left"/>
      </w:pPr>
      <w:r>
        <w:rPr/>
        <w:t>El</w:t>
      </w:r>
      <w:r>
        <w:rPr>
          <w:spacing w:val="-5"/>
        </w:rPr>
        <w:t> </w:t>
      </w:r>
      <w:r>
        <w:rPr/>
        <w:t>Monasterio</w:t>
      </w:r>
      <w:r>
        <w:rPr>
          <w:spacing w:val="-5"/>
        </w:rPr>
        <w:t> </w:t>
      </w:r>
      <w:r>
        <w:rPr/>
        <w:t>Real</w:t>
      </w:r>
      <w:r>
        <w:rPr>
          <w:spacing w:val="-5"/>
        </w:rPr>
        <w:t> </w:t>
      </w:r>
      <w:r>
        <w:rPr/>
        <w:t>de</w:t>
      </w:r>
      <w:r>
        <w:rPr>
          <w:spacing w:val="-5"/>
        </w:rPr>
        <w:t> </w:t>
      </w:r>
      <w:r>
        <w:rPr/>
        <w:t>Santa</w:t>
      </w:r>
      <w:r>
        <w:rPr>
          <w:spacing w:val="-5"/>
        </w:rPr>
        <w:t> </w:t>
      </w:r>
      <w:r>
        <w:rPr/>
        <w:t>María</w:t>
      </w:r>
      <w:r>
        <w:rPr>
          <w:spacing w:val="-5"/>
        </w:rPr>
        <w:t> </w:t>
      </w:r>
      <w:r>
        <w:rPr/>
        <w:t>de</w:t>
      </w:r>
      <w:r>
        <w:rPr>
          <w:spacing w:val="-5"/>
        </w:rPr>
        <w:t> </w:t>
      </w:r>
      <w:r>
        <w:rPr/>
        <w:t>Guadalupe. El Camino de Santiago de Compostela.</w:t>
      </w:r>
    </w:p>
    <w:p>
      <w:pPr>
        <w:pStyle w:val="BodyText"/>
        <w:ind w:left="595" w:firstLine="0"/>
        <w:jc w:val="left"/>
      </w:pPr>
      <w:r>
        <w:rPr/>
        <w:t>Parque</w:t>
      </w:r>
      <w:r>
        <w:rPr>
          <w:spacing w:val="-5"/>
        </w:rPr>
        <w:t> </w:t>
      </w:r>
      <w:r>
        <w:rPr/>
        <w:t>Nacional</w:t>
      </w:r>
      <w:r>
        <w:rPr>
          <w:spacing w:val="-4"/>
        </w:rPr>
        <w:t> </w:t>
      </w:r>
      <w:r>
        <w:rPr/>
        <w:t>de</w:t>
      </w:r>
      <w:r>
        <w:rPr>
          <w:spacing w:val="-4"/>
        </w:rPr>
        <w:t> </w:t>
      </w:r>
      <w:r>
        <w:rPr>
          <w:spacing w:val="-2"/>
        </w:rPr>
        <w:t>Doñana.</w:t>
      </w:r>
    </w:p>
    <w:p>
      <w:pPr>
        <w:pStyle w:val="BodyText"/>
        <w:spacing w:line="249" w:lineRule="auto" w:before="10"/>
        <w:ind w:left="595" w:right="5446" w:firstLine="0"/>
        <w:jc w:val="left"/>
      </w:pPr>
      <w:r>
        <w:rPr/>
        <w:t>Ciudad</w:t>
      </w:r>
      <w:r>
        <w:rPr>
          <w:spacing w:val="-9"/>
        </w:rPr>
        <w:t> </w:t>
      </w:r>
      <w:r>
        <w:rPr/>
        <w:t>histórica</w:t>
      </w:r>
      <w:r>
        <w:rPr>
          <w:spacing w:val="-9"/>
        </w:rPr>
        <w:t> </w:t>
      </w:r>
      <w:r>
        <w:rPr/>
        <w:t>fortificada</w:t>
      </w:r>
      <w:r>
        <w:rPr>
          <w:spacing w:val="-9"/>
        </w:rPr>
        <w:t> </w:t>
      </w:r>
      <w:r>
        <w:rPr/>
        <w:t>de</w:t>
      </w:r>
      <w:r>
        <w:rPr>
          <w:spacing w:val="-9"/>
        </w:rPr>
        <w:t> </w:t>
      </w:r>
      <w:r>
        <w:rPr/>
        <w:t>Cuenca. La Lonja de la Seda de Valencia.</w:t>
      </w:r>
    </w:p>
    <w:p>
      <w:pPr>
        <w:pStyle w:val="BodyText"/>
        <w:spacing w:line="249" w:lineRule="auto"/>
        <w:ind w:left="595" w:right="3182" w:firstLine="0"/>
        <w:jc w:val="left"/>
      </w:pPr>
      <w:r>
        <w:rPr/>
        <w:t>Palau</w:t>
      </w:r>
      <w:r>
        <w:rPr>
          <w:spacing w:val="-4"/>
        </w:rPr>
        <w:t> </w:t>
      </w:r>
      <w:r>
        <w:rPr/>
        <w:t>de</w:t>
      </w:r>
      <w:r>
        <w:rPr>
          <w:spacing w:val="-4"/>
        </w:rPr>
        <w:t> </w:t>
      </w:r>
      <w:r>
        <w:rPr/>
        <w:t>la</w:t>
      </w:r>
      <w:r>
        <w:rPr>
          <w:spacing w:val="-4"/>
        </w:rPr>
        <w:t> </w:t>
      </w:r>
      <w:r>
        <w:rPr/>
        <w:t>música</w:t>
      </w:r>
      <w:r>
        <w:rPr>
          <w:spacing w:val="-4"/>
        </w:rPr>
        <w:t> </w:t>
      </w:r>
      <w:r>
        <w:rPr/>
        <w:t>catalana</w:t>
      </w:r>
      <w:r>
        <w:rPr>
          <w:spacing w:val="-4"/>
        </w:rPr>
        <w:t> </w:t>
      </w:r>
      <w:r>
        <w:rPr/>
        <w:t>y</w:t>
      </w:r>
      <w:r>
        <w:rPr>
          <w:spacing w:val="-4"/>
        </w:rPr>
        <w:t> </w:t>
      </w:r>
      <w:r>
        <w:rPr/>
        <w:t>Hospital</w:t>
      </w:r>
      <w:r>
        <w:rPr>
          <w:spacing w:val="-4"/>
        </w:rPr>
        <w:t> </w:t>
      </w:r>
      <w:r>
        <w:rPr/>
        <w:t>de</w:t>
      </w:r>
      <w:r>
        <w:rPr>
          <w:spacing w:val="-4"/>
        </w:rPr>
        <w:t> </w:t>
      </w:r>
      <w:r>
        <w:rPr/>
        <w:t>San</w:t>
      </w:r>
      <w:r>
        <w:rPr>
          <w:spacing w:val="-4"/>
        </w:rPr>
        <w:t> </w:t>
      </w:r>
      <w:r>
        <w:rPr/>
        <w:t>Pau,</w:t>
      </w:r>
      <w:r>
        <w:rPr>
          <w:spacing w:val="-4"/>
        </w:rPr>
        <w:t> </w:t>
      </w:r>
      <w:r>
        <w:rPr/>
        <w:t>Barcelona. Las Médulas.</w:t>
      </w:r>
    </w:p>
    <w:p>
      <w:pPr>
        <w:pStyle w:val="BodyText"/>
        <w:spacing w:before="1"/>
        <w:ind w:left="595" w:firstLine="0"/>
        <w:jc w:val="left"/>
      </w:pPr>
      <w:r>
        <w:rPr/>
        <w:t>Monasterios</w:t>
      </w:r>
      <w:r>
        <w:rPr>
          <w:spacing w:val="-3"/>
        </w:rPr>
        <w:t> </w:t>
      </w:r>
      <w:r>
        <w:rPr/>
        <w:t>de</w:t>
      </w:r>
      <w:r>
        <w:rPr>
          <w:spacing w:val="-3"/>
        </w:rPr>
        <w:t> </w:t>
      </w:r>
      <w:r>
        <w:rPr/>
        <w:t>San</w:t>
      </w:r>
      <w:r>
        <w:rPr>
          <w:spacing w:val="-3"/>
        </w:rPr>
        <w:t> </w:t>
      </w:r>
      <w:r>
        <w:rPr/>
        <w:t>Millán</w:t>
      </w:r>
      <w:r>
        <w:rPr>
          <w:spacing w:val="-3"/>
        </w:rPr>
        <w:t> </w:t>
      </w:r>
      <w:r>
        <w:rPr/>
        <w:t>de</w:t>
      </w:r>
      <w:r>
        <w:rPr>
          <w:spacing w:val="-3"/>
        </w:rPr>
        <w:t> </w:t>
      </w:r>
      <w:r>
        <w:rPr/>
        <w:t>Yuso</w:t>
      </w:r>
      <w:r>
        <w:rPr>
          <w:spacing w:val="-3"/>
        </w:rPr>
        <w:t> </w:t>
      </w:r>
      <w:r>
        <w:rPr/>
        <w:t>y</w:t>
      </w:r>
      <w:r>
        <w:rPr>
          <w:spacing w:val="-3"/>
        </w:rPr>
        <w:t> </w:t>
      </w:r>
      <w:r>
        <w:rPr/>
        <w:t>de</w:t>
      </w:r>
      <w:r>
        <w:rPr>
          <w:spacing w:val="-2"/>
        </w:rPr>
        <w:t> Suso.</w:t>
      </w:r>
    </w:p>
    <w:p>
      <w:pPr>
        <w:pStyle w:val="BodyText"/>
        <w:spacing w:line="249" w:lineRule="auto" w:before="10"/>
        <w:ind w:left="595" w:right="3182" w:firstLine="0"/>
        <w:jc w:val="left"/>
      </w:pPr>
      <w:r>
        <w:rPr/>
        <w:t>Arte</w:t>
      </w:r>
      <w:r>
        <w:rPr>
          <w:spacing w:val="-5"/>
        </w:rPr>
        <w:t> </w:t>
      </w:r>
      <w:r>
        <w:rPr/>
        <w:t>rupestre</w:t>
      </w:r>
      <w:r>
        <w:rPr>
          <w:spacing w:val="-5"/>
        </w:rPr>
        <w:t> </w:t>
      </w:r>
      <w:r>
        <w:rPr/>
        <w:t>del</w:t>
      </w:r>
      <w:r>
        <w:rPr>
          <w:spacing w:val="-5"/>
        </w:rPr>
        <w:t> </w:t>
      </w:r>
      <w:r>
        <w:rPr/>
        <w:t>Arco</w:t>
      </w:r>
      <w:r>
        <w:rPr>
          <w:spacing w:val="-5"/>
        </w:rPr>
        <w:t> </w:t>
      </w:r>
      <w:r>
        <w:rPr/>
        <w:t>Mediterráneo</w:t>
      </w:r>
      <w:r>
        <w:rPr>
          <w:spacing w:val="-5"/>
        </w:rPr>
        <w:t> </w:t>
      </w:r>
      <w:r>
        <w:rPr/>
        <w:t>de</w:t>
      </w:r>
      <w:r>
        <w:rPr>
          <w:spacing w:val="-5"/>
        </w:rPr>
        <w:t> </w:t>
      </w:r>
      <w:r>
        <w:rPr/>
        <w:t>la</w:t>
      </w:r>
      <w:r>
        <w:rPr>
          <w:spacing w:val="-5"/>
        </w:rPr>
        <w:t> </w:t>
      </w:r>
      <w:r>
        <w:rPr/>
        <w:t>Península</w:t>
      </w:r>
      <w:r>
        <w:rPr>
          <w:spacing w:val="-5"/>
        </w:rPr>
        <w:t> </w:t>
      </w:r>
      <w:r>
        <w:rPr/>
        <w:t>Ibérica. Universidad y recinto histórico de Alcalá de Henares.</w:t>
      </w:r>
    </w:p>
    <w:p>
      <w:pPr>
        <w:pStyle w:val="BodyText"/>
        <w:spacing w:after="0" w:line="249" w:lineRule="auto"/>
        <w:jc w:val="left"/>
        <w:sectPr>
          <w:pgSz w:w="11910" w:h="16840"/>
          <w:pgMar w:header="349" w:footer="530" w:top="1200" w:bottom="760" w:left="1559" w:right="708"/>
        </w:sectPr>
      </w:pPr>
    </w:p>
    <w:p>
      <w:pPr>
        <w:pStyle w:val="BodyText"/>
        <w:spacing w:before="0"/>
        <w:ind w:left="0" w:firstLine="0"/>
        <w:jc w:val="left"/>
      </w:pPr>
    </w:p>
    <w:p>
      <w:pPr>
        <w:pStyle w:val="BodyText"/>
        <w:spacing w:before="26"/>
        <w:ind w:left="0" w:firstLine="0"/>
        <w:jc w:val="left"/>
      </w:pPr>
    </w:p>
    <w:p>
      <w:pPr>
        <w:pStyle w:val="BodyText"/>
        <w:spacing w:line="249" w:lineRule="auto" w:before="1"/>
        <w:ind w:left="595" w:right="6143" w:firstLine="0"/>
        <w:jc w:val="left"/>
      </w:pPr>
      <w:r>
        <w:rPr/>
        <w:t>Ibiza, biodiversidad y cultura. San Cristóbal de La Laguna. Sitio</w:t>
      </w:r>
      <w:r>
        <w:rPr>
          <w:spacing w:val="-11"/>
        </w:rPr>
        <w:t> </w:t>
      </w:r>
      <w:r>
        <w:rPr/>
        <w:t>arqueológico</w:t>
      </w:r>
      <w:r>
        <w:rPr>
          <w:spacing w:val="-12"/>
        </w:rPr>
        <w:t> </w:t>
      </w:r>
      <w:r>
        <w:rPr/>
        <w:t>de</w:t>
      </w:r>
      <w:r>
        <w:rPr>
          <w:spacing w:val="-11"/>
        </w:rPr>
        <w:t> </w:t>
      </w:r>
      <w:r>
        <w:rPr/>
        <w:t>Atapuerca. Palmeral de Elche.</w:t>
      </w:r>
    </w:p>
    <w:p>
      <w:pPr>
        <w:pStyle w:val="BodyText"/>
        <w:spacing w:line="249" w:lineRule="auto" w:before="3"/>
        <w:ind w:left="595" w:right="4798" w:firstLine="0"/>
        <w:jc w:val="left"/>
      </w:pPr>
      <w:r>
        <w:rPr/>
        <w:t>Iglesias</w:t>
      </w:r>
      <w:r>
        <w:rPr>
          <w:spacing w:val="-6"/>
        </w:rPr>
        <w:t> </w:t>
      </w:r>
      <w:r>
        <w:rPr/>
        <w:t>románicas</w:t>
      </w:r>
      <w:r>
        <w:rPr>
          <w:spacing w:val="-6"/>
        </w:rPr>
        <w:t> </w:t>
      </w:r>
      <w:r>
        <w:rPr/>
        <w:t>catalanas</w:t>
      </w:r>
      <w:r>
        <w:rPr>
          <w:spacing w:val="-6"/>
        </w:rPr>
        <w:t> </w:t>
      </w:r>
      <w:r>
        <w:rPr/>
        <w:t>del</w:t>
      </w:r>
      <w:r>
        <w:rPr>
          <w:spacing w:val="-6"/>
        </w:rPr>
        <w:t> </w:t>
      </w:r>
      <w:r>
        <w:rPr/>
        <w:t>valle</w:t>
      </w:r>
      <w:r>
        <w:rPr>
          <w:spacing w:val="-6"/>
        </w:rPr>
        <w:t> </w:t>
      </w:r>
      <w:r>
        <w:rPr/>
        <w:t>del</w:t>
      </w:r>
      <w:r>
        <w:rPr>
          <w:spacing w:val="-6"/>
        </w:rPr>
        <w:t> </w:t>
      </w:r>
      <w:r>
        <w:rPr/>
        <w:t>Boí. Muralla romana de Lugo.</w:t>
      </w:r>
    </w:p>
    <w:p>
      <w:pPr>
        <w:pStyle w:val="BodyText"/>
        <w:spacing w:line="249" w:lineRule="auto"/>
        <w:ind w:left="595" w:right="5446" w:firstLine="0"/>
        <w:jc w:val="left"/>
      </w:pPr>
      <w:r>
        <w:rPr/>
        <w:t>Conjunto</w:t>
      </w:r>
      <w:r>
        <w:rPr>
          <w:spacing w:val="-14"/>
        </w:rPr>
        <w:t> </w:t>
      </w:r>
      <w:r>
        <w:rPr/>
        <w:t>arqueológico</w:t>
      </w:r>
      <w:r>
        <w:rPr>
          <w:spacing w:val="-14"/>
        </w:rPr>
        <w:t> </w:t>
      </w:r>
      <w:r>
        <w:rPr/>
        <w:t>de</w:t>
      </w:r>
      <w:r>
        <w:rPr>
          <w:spacing w:val="-14"/>
        </w:rPr>
        <w:t> </w:t>
      </w:r>
      <w:r>
        <w:rPr/>
        <w:t>Tarragona. Paisaje cultural de Aranjuez.</w:t>
      </w:r>
    </w:p>
    <w:p>
      <w:pPr>
        <w:pStyle w:val="BodyText"/>
        <w:spacing w:before="165"/>
        <w:ind w:left="0" w:firstLine="0"/>
        <w:jc w:val="left"/>
      </w:pPr>
      <w:r>
        <w:rPr/>
        <mc:AlternateContent>
          <mc:Choice Requires="wps">
            <w:drawing>
              <wp:anchor distT="0" distB="0" distL="0" distR="0" allowOverlap="1" layoutInCell="1" locked="0" behindDoc="1" simplePos="0" relativeHeight="487589376">
                <wp:simplePos x="0" y="0"/>
                <wp:positionH relativeFrom="page">
                  <wp:posOffset>1153800</wp:posOffset>
                </wp:positionH>
                <wp:positionV relativeFrom="paragraph">
                  <wp:posOffset>267957</wp:posOffset>
                </wp:positionV>
                <wp:extent cx="5252720" cy="410209"/>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5252720" cy="410209"/>
                        </a:xfrm>
                        <a:prstGeom prst="rect">
                          <a:avLst/>
                        </a:prstGeom>
                        <a:ln w="3600">
                          <a:solidFill>
                            <a:srgbClr val="004479"/>
                          </a:solidFill>
                          <a:prstDash val="solid"/>
                        </a:ln>
                      </wps:spPr>
                      <wps:txbx>
                        <w:txbxContent>
                          <w:p>
                            <w:pPr>
                              <w:pStyle w:val="BodyText"/>
                              <w:spacing w:before="201"/>
                              <w:ind w:left="300" w:firstLine="0"/>
                              <w:jc w:val="left"/>
                            </w:pPr>
                            <w:r>
                              <w:rPr>
                                <w:color w:val="004479"/>
                              </w:rPr>
                              <w:t>Este</w:t>
                            </w:r>
                            <w:r>
                              <w:rPr>
                                <w:color w:val="004479"/>
                                <w:spacing w:val="-4"/>
                              </w:rPr>
                              <w:t> </w:t>
                            </w:r>
                            <w:r>
                              <w:rPr>
                                <w:color w:val="004479"/>
                              </w:rPr>
                              <w:t>texto</w:t>
                            </w:r>
                            <w:r>
                              <w:rPr>
                                <w:color w:val="004479"/>
                                <w:spacing w:val="-4"/>
                              </w:rPr>
                              <w:t> </w:t>
                            </w:r>
                            <w:r>
                              <w:rPr>
                                <w:color w:val="004479"/>
                              </w:rPr>
                              <w:t>consolidado</w:t>
                            </w:r>
                            <w:r>
                              <w:rPr>
                                <w:color w:val="004479"/>
                                <w:spacing w:val="-3"/>
                              </w:rPr>
                              <w:t> </w:t>
                            </w:r>
                            <w:r>
                              <w:rPr>
                                <w:color w:val="004479"/>
                              </w:rPr>
                              <w:t>no</w:t>
                            </w:r>
                            <w:r>
                              <w:rPr>
                                <w:color w:val="004479"/>
                                <w:spacing w:val="-4"/>
                              </w:rPr>
                              <w:t> </w:t>
                            </w:r>
                            <w:r>
                              <w:rPr>
                                <w:color w:val="004479"/>
                              </w:rPr>
                              <w:t>tiene</w:t>
                            </w:r>
                            <w:r>
                              <w:rPr>
                                <w:color w:val="004479"/>
                                <w:spacing w:val="-4"/>
                              </w:rPr>
                              <w:t> </w:t>
                            </w:r>
                            <w:r>
                              <w:rPr>
                                <w:color w:val="004479"/>
                              </w:rPr>
                              <w:t>valor</w:t>
                            </w:r>
                            <w:r>
                              <w:rPr>
                                <w:color w:val="004479"/>
                                <w:spacing w:val="-3"/>
                              </w:rPr>
                              <w:t> </w:t>
                            </w:r>
                            <w:r>
                              <w:rPr>
                                <w:color w:val="004479"/>
                                <w:spacing w:val="-2"/>
                              </w:rPr>
                              <w:t>jurídico.</w:t>
                            </w:r>
                          </w:p>
                        </w:txbxContent>
                      </wps:txbx>
                      <wps:bodyPr wrap="square" lIns="0" tIns="0" rIns="0" bIns="0" rtlCol="0">
                        <a:noAutofit/>
                      </wps:bodyPr>
                    </wps:wsp>
                  </a:graphicData>
                </a:graphic>
              </wp:anchor>
            </w:drawing>
          </mc:Choice>
          <mc:Fallback>
            <w:pict>
              <v:shape style="position:absolute;margin-left:90.850395pt;margin-top:21.099024pt;width:413.6pt;height:32.3pt;mso-position-horizontal-relative:page;mso-position-vertical-relative:paragraph;z-index:-15727104;mso-wrap-distance-left:0;mso-wrap-distance-right:0" type="#_x0000_t202" id="docshape6" filled="false" stroked="true" strokeweight=".283466pt" strokecolor="#004479">
                <v:textbox inset="0,0,0,0">
                  <w:txbxContent>
                    <w:p>
                      <w:pPr>
                        <w:pStyle w:val="BodyText"/>
                        <w:spacing w:before="201"/>
                        <w:ind w:left="300" w:firstLine="0"/>
                        <w:jc w:val="left"/>
                      </w:pPr>
                      <w:r>
                        <w:rPr>
                          <w:color w:val="004479"/>
                        </w:rPr>
                        <w:t>Este</w:t>
                      </w:r>
                      <w:r>
                        <w:rPr>
                          <w:color w:val="004479"/>
                          <w:spacing w:val="-4"/>
                        </w:rPr>
                        <w:t> </w:t>
                      </w:r>
                      <w:r>
                        <w:rPr>
                          <w:color w:val="004479"/>
                        </w:rPr>
                        <w:t>texto</w:t>
                      </w:r>
                      <w:r>
                        <w:rPr>
                          <w:color w:val="004479"/>
                          <w:spacing w:val="-4"/>
                        </w:rPr>
                        <w:t> </w:t>
                      </w:r>
                      <w:r>
                        <w:rPr>
                          <w:color w:val="004479"/>
                        </w:rPr>
                        <w:t>consolidado</w:t>
                      </w:r>
                      <w:r>
                        <w:rPr>
                          <w:color w:val="004479"/>
                          <w:spacing w:val="-3"/>
                        </w:rPr>
                        <w:t> </w:t>
                      </w:r>
                      <w:r>
                        <w:rPr>
                          <w:color w:val="004479"/>
                        </w:rPr>
                        <w:t>no</w:t>
                      </w:r>
                      <w:r>
                        <w:rPr>
                          <w:color w:val="004479"/>
                          <w:spacing w:val="-4"/>
                        </w:rPr>
                        <w:t> </w:t>
                      </w:r>
                      <w:r>
                        <w:rPr>
                          <w:color w:val="004479"/>
                        </w:rPr>
                        <w:t>tiene</w:t>
                      </w:r>
                      <w:r>
                        <w:rPr>
                          <w:color w:val="004479"/>
                          <w:spacing w:val="-4"/>
                        </w:rPr>
                        <w:t> </w:t>
                      </w:r>
                      <w:r>
                        <w:rPr>
                          <w:color w:val="004479"/>
                        </w:rPr>
                        <w:t>valor</w:t>
                      </w:r>
                      <w:r>
                        <w:rPr>
                          <w:color w:val="004479"/>
                          <w:spacing w:val="-3"/>
                        </w:rPr>
                        <w:t> </w:t>
                      </w:r>
                      <w:r>
                        <w:rPr>
                          <w:color w:val="004479"/>
                          <w:spacing w:val="-2"/>
                        </w:rPr>
                        <w:t>jurídico.</w:t>
                      </w:r>
                    </w:p>
                  </w:txbxContent>
                </v:textbox>
                <v:stroke dashstyle="solid"/>
                <w10:wrap type="topAndBottom"/>
              </v:shape>
            </w:pict>
          </mc:Fallback>
        </mc:AlternateContent>
      </w:r>
    </w:p>
    <w:sectPr>
      <w:pgSz w:w="11910" w:h="16840"/>
      <w:pgMar w:header="349" w:footer="530" w:top="1200" w:bottom="760" w:left="1559"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firstLine="0"/>
      <w:jc w:val="left"/>
    </w:pPr>
    <w:r>
      <w:rPr/>
      <mc:AlternateContent>
        <mc:Choice Requires="wps">
          <w:drawing>
            <wp:anchor distT="0" distB="0" distL="0" distR="0" allowOverlap="1" layoutInCell="1" locked="0" behindDoc="1" simplePos="0" relativeHeight="486826496">
              <wp:simplePos x="0" y="0"/>
              <wp:positionH relativeFrom="page">
                <wp:posOffset>360000</wp:posOffset>
              </wp:positionH>
              <wp:positionV relativeFrom="page">
                <wp:posOffset>10158350</wp:posOffset>
              </wp:positionV>
              <wp:extent cx="684022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840220" cy="1270"/>
                      </a:xfrm>
                      <a:custGeom>
                        <a:avLst/>
                        <a:gdLst/>
                        <a:ahLst/>
                        <a:cxnLst/>
                        <a:rect l="l" t="t" r="r" b="b"/>
                        <a:pathLst>
                          <a:path w="6840220" h="0">
                            <a:moveTo>
                              <a:pt x="0" y="0"/>
                            </a:moveTo>
                            <a:lnTo>
                              <a:pt x="6840001" y="0"/>
                            </a:lnTo>
                          </a:path>
                        </a:pathLst>
                      </a:custGeom>
                      <a:ln w="12700">
                        <a:solidFill>
                          <a:srgbClr val="00447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89984" from="28.34646pt,799.870117pt" to="566.92922pt,799.870117pt" stroked="true" strokeweight="1pt" strokecolor="#004479">
              <v:stroke dashstyle="solid"/>
              <w10:wrap type="none"/>
            </v:line>
          </w:pict>
        </mc:Fallback>
      </mc:AlternateContent>
    </w:r>
    <w:r>
      <w:rPr/>
      <mc:AlternateContent>
        <mc:Choice Requires="wps">
          <w:drawing>
            <wp:anchor distT="0" distB="0" distL="0" distR="0" allowOverlap="1" layoutInCell="1" locked="0" behindDoc="1" simplePos="0" relativeHeight="486827008">
              <wp:simplePos x="0" y="0"/>
              <wp:positionH relativeFrom="page">
                <wp:posOffset>3541641</wp:posOffset>
              </wp:positionH>
              <wp:positionV relativeFrom="page">
                <wp:posOffset>10192733</wp:posOffset>
              </wp:positionV>
              <wp:extent cx="591185" cy="1536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91185" cy="153670"/>
                      </a:xfrm>
                      <a:prstGeom prst="rect">
                        <a:avLst/>
                      </a:prstGeom>
                    </wps:spPr>
                    <wps:txbx>
                      <w:txbxContent>
                        <w:p>
                          <w:pPr>
                            <w:spacing w:before="14"/>
                            <w:ind w:left="20" w:right="0" w:firstLine="0"/>
                            <w:jc w:val="left"/>
                            <w:rPr>
                              <w:sz w:val="18"/>
                            </w:rPr>
                          </w:pPr>
                          <w:r>
                            <w:rPr>
                              <w:color w:val="004479"/>
                              <w:sz w:val="18"/>
                            </w:rPr>
                            <w:t>Página</w:t>
                          </w:r>
                          <w:r>
                            <w:rPr>
                              <w:color w:val="004479"/>
                              <w:spacing w:val="-5"/>
                              <w:sz w:val="18"/>
                            </w:rPr>
                            <w:t> </w:t>
                          </w:r>
                          <w:r>
                            <w:rPr>
                              <w:color w:val="004479"/>
                              <w:spacing w:val="-10"/>
                              <w:sz w:val="18"/>
                            </w:rPr>
                            <w:fldChar w:fldCharType="begin"/>
                          </w:r>
                          <w:r>
                            <w:rPr>
                              <w:color w:val="004479"/>
                              <w:spacing w:val="-10"/>
                              <w:sz w:val="18"/>
                            </w:rPr>
                            <w:instrText> PAGE </w:instrText>
                          </w:r>
                          <w:r>
                            <w:rPr>
                              <w:color w:val="004479"/>
                              <w:spacing w:val="-10"/>
                              <w:sz w:val="18"/>
                            </w:rPr>
                            <w:fldChar w:fldCharType="separate"/>
                          </w:r>
                          <w:r>
                            <w:rPr>
                              <w:color w:val="004479"/>
                              <w:spacing w:val="-10"/>
                              <w:sz w:val="18"/>
                            </w:rPr>
                            <w:t>1</w:t>
                          </w:r>
                          <w:r>
                            <w:rPr>
                              <w:color w:val="004479"/>
                              <w:spacing w:val="-10"/>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78.869446pt;margin-top:802.577454pt;width:46.55pt;height:12.1pt;mso-position-horizontal-relative:page;mso-position-vertical-relative:page;z-index:-16489472" type="#_x0000_t202" id="docshape1" filled="false" stroked="false">
              <v:textbox inset="0,0,0,0">
                <w:txbxContent>
                  <w:p>
                    <w:pPr>
                      <w:spacing w:before="14"/>
                      <w:ind w:left="20" w:right="0" w:firstLine="0"/>
                      <w:jc w:val="left"/>
                      <w:rPr>
                        <w:sz w:val="18"/>
                      </w:rPr>
                    </w:pPr>
                    <w:r>
                      <w:rPr>
                        <w:color w:val="004479"/>
                        <w:sz w:val="18"/>
                      </w:rPr>
                      <w:t>Página</w:t>
                    </w:r>
                    <w:r>
                      <w:rPr>
                        <w:color w:val="004479"/>
                        <w:spacing w:val="-5"/>
                        <w:sz w:val="18"/>
                      </w:rPr>
                      <w:t> </w:t>
                    </w:r>
                    <w:r>
                      <w:rPr>
                        <w:color w:val="004479"/>
                        <w:spacing w:val="-10"/>
                        <w:sz w:val="18"/>
                      </w:rPr>
                      <w:fldChar w:fldCharType="begin"/>
                    </w:r>
                    <w:r>
                      <w:rPr>
                        <w:color w:val="004479"/>
                        <w:spacing w:val="-10"/>
                        <w:sz w:val="18"/>
                      </w:rPr>
                      <w:instrText> PAGE </w:instrText>
                    </w:r>
                    <w:r>
                      <w:rPr>
                        <w:color w:val="004479"/>
                        <w:spacing w:val="-10"/>
                        <w:sz w:val="18"/>
                      </w:rPr>
                      <w:fldChar w:fldCharType="separate"/>
                    </w:r>
                    <w:r>
                      <w:rPr>
                        <w:color w:val="004479"/>
                        <w:spacing w:val="-10"/>
                        <w:sz w:val="18"/>
                      </w:rPr>
                      <w:t>1</w:t>
                    </w:r>
                    <w:r>
                      <w:rPr>
                        <w:color w:val="004479"/>
                        <w:spacing w:val="-10"/>
                        <w:sz w:val="1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firstLine="0"/>
      <w:jc w:val="left"/>
    </w:pPr>
    <w:r>
      <w:rPr/>
      <mc:AlternateContent>
        <mc:Choice Requires="wps">
          <w:drawing>
            <wp:anchor distT="0" distB="0" distL="0" distR="0" allowOverlap="1" layoutInCell="1" locked="0" behindDoc="1" simplePos="0" relativeHeight="486828544">
              <wp:simplePos x="0" y="0"/>
              <wp:positionH relativeFrom="page">
                <wp:posOffset>360000</wp:posOffset>
              </wp:positionH>
              <wp:positionV relativeFrom="page">
                <wp:posOffset>10158350</wp:posOffset>
              </wp:positionV>
              <wp:extent cx="6840220"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6840220" cy="1270"/>
                      </a:xfrm>
                      <a:custGeom>
                        <a:avLst/>
                        <a:gdLst/>
                        <a:ahLst/>
                        <a:cxnLst/>
                        <a:rect l="l" t="t" r="r" b="b"/>
                        <a:pathLst>
                          <a:path w="6840220" h="0">
                            <a:moveTo>
                              <a:pt x="0" y="0"/>
                            </a:moveTo>
                            <a:lnTo>
                              <a:pt x="6840001" y="0"/>
                            </a:lnTo>
                          </a:path>
                        </a:pathLst>
                      </a:custGeom>
                      <a:ln w="12700">
                        <a:solidFill>
                          <a:srgbClr val="00447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87936" from="28.34646pt,799.870117pt" to="566.92922pt,799.870117pt" stroked="true" strokeweight="1pt" strokecolor="#004479">
              <v:stroke dashstyle="solid"/>
              <w10:wrap type="none"/>
            </v:line>
          </w:pict>
        </mc:Fallback>
      </mc:AlternateContent>
    </w:r>
    <w:r>
      <w:rPr/>
      <mc:AlternateContent>
        <mc:Choice Requires="wps">
          <w:drawing>
            <wp:anchor distT="0" distB="0" distL="0" distR="0" allowOverlap="1" layoutInCell="1" locked="0" behindDoc="1" simplePos="0" relativeHeight="486829056">
              <wp:simplePos x="0" y="0"/>
              <wp:positionH relativeFrom="page">
                <wp:posOffset>3509866</wp:posOffset>
              </wp:positionH>
              <wp:positionV relativeFrom="page">
                <wp:posOffset>10192733</wp:posOffset>
              </wp:positionV>
              <wp:extent cx="622935" cy="15367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622935" cy="153670"/>
                      </a:xfrm>
                      <a:prstGeom prst="rect">
                        <a:avLst/>
                      </a:prstGeom>
                    </wps:spPr>
                    <wps:txbx>
                      <w:txbxContent>
                        <w:p>
                          <w:pPr>
                            <w:spacing w:before="14"/>
                            <w:ind w:left="20" w:right="0" w:firstLine="0"/>
                            <w:jc w:val="left"/>
                            <w:rPr>
                              <w:sz w:val="18"/>
                            </w:rPr>
                          </w:pPr>
                          <w:r>
                            <w:rPr>
                              <w:color w:val="004479"/>
                              <w:sz w:val="18"/>
                            </w:rPr>
                            <w:t>Página</w:t>
                          </w:r>
                          <w:r>
                            <w:rPr>
                              <w:color w:val="004479"/>
                              <w:spacing w:val="-5"/>
                              <w:sz w:val="18"/>
                            </w:rPr>
                            <w:t> </w:t>
                          </w:r>
                          <w:r>
                            <w:rPr>
                              <w:color w:val="004479"/>
                              <w:spacing w:val="-5"/>
                              <w:sz w:val="18"/>
                            </w:rPr>
                            <w:fldChar w:fldCharType="begin"/>
                          </w:r>
                          <w:r>
                            <w:rPr>
                              <w:color w:val="004479"/>
                              <w:spacing w:val="-5"/>
                              <w:sz w:val="18"/>
                            </w:rPr>
                            <w:instrText> PAGE </w:instrText>
                          </w:r>
                          <w:r>
                            <w:rPr>
                              <w:color w:val="004479"/>
                              <w:spacing w:val="-5"/>
                              <w:sz w:val="18"/>
                            </w:rPr>
                            <w:fldChar w:fldCharType="separate"/>
                          </w:r>
                          <w:r>
                            <w:rPr>
                              <w:color w:val="004479"/>
                              <w:spacing w:val="-5"/>
                              <w:sz w:val="18"/>
                            </w:rPr>
                            <w:t>10</w:t>
                          </w:r>
                          <w:r>
                            <w:rPr>
                              <w:color w:val="004479"/>
                              <w:spacing w:val="-5"/>
                              <w:sz w:val="18"/>
                            </w:rPr>
                            <w:fldChar w:fldCharType="end"/>
                          </w:r>
                        </w:p>
                      </w:txbxContent>
                    </wps:txbx>
                    <wps:bodyPr wrap="square" lIns="0" tIns="0" rIns="0" bIns="0" rtlCol="0">
                      <a:noAutofit/>
                    </wps:bodyPr>
                  </wps:wsp>
                </a:graphicData>
              </a:graphic>
            </wp:anchor>
          </w:drawing>
        </mc:Choice>
        <mc:Fallback>
          <w:pict>
            <v:shape style="position:absolute;margin-left:276.367462pt;margin-top:802.577454pt;width:49.05pt;height:12.1pt;mso-position-horizontal-relative:page;mso-position-vertical-relative:page;z-index:-16487424" type="#_x0000_t202" id="docshape5" filled="false" stroked="false">
              <v:textbox inset="0,0,0,0">
                <w:txbxContent>
                  <w:p>
                    <w:pPr>
                      <w:spacing w:before="14"/>
                      <w:ind w:left="20" w:right="0" w:firstLine="0"/>
                      <w:jc w:val="left"/>
                      <w:rPr>
                        <w:sz w:val="18"/>
                      </w:rPr>
                    </w:pPr>
                    <w:r>
                      <w:rPr>
                        <w:color w:val="004479"/>
                        <w:sz w:val="18"/>
                      </w:rPr>
                      <w:t>Página</w:t>
                    </w:r>
                    <w:r>
                      <w:rPr>
                        <w:color w:val="004479"/>
                        <w:spacing w:val="-5"/>
                        <w:sz w:val="18"/>
                      </w:rPr>
                      <w:t> </w:t>
                    </w:r>
                    <w:r>
                      <w:rPr>
                        <w:color w:val="004479"/>
                        <w:spacing w:val="-5"/>
                        <w:sz w:val="18"/>
                      </w:rPr>
                      <w:fldChar w:fldCharType="begin"/>
                    </w:r>
                    <w:r>
                      <w:rPr>
                        <w:color w:val="004479"/>
                        <w:spacing w:val="-5"/>
                        <w:sz w:val="18"/>
                      </w:rPr>
                      <w:instrText> PAGE </w:instrText>
                    </w:r>
                    <w:r>
                      <w:rPr>
                        <w:color w:val="004479"/>
                        <w:spacing w:val="-5"/>
                        <w:sz w:val="18"/>
                      </w:rPr>
                      <w:fldChar w:fldCharType="separate"/>
                    </w:r>
                    <w:r>
                      <w:rPr>
                        <w:color w:val="004479"/>
                        <w:spacing w:val="-5"/>
                        <w:sz w:val="18"/>
                      </w:rPr>
                      <w:t>10</w:t>
                    </w:r>
                    <w:r>
                      <w:rPr>
                        <w:color w:val="004479"/>
                        <w:spacing w:val="-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firstLine="0"/>
      <w:jc w:val="left"/>
    </w:pPr>
    <w:r>
      <w:rPr/>
      <mc:AlternateContent>
        <mc:Choice Requires="wps">
          <w:drawing>
            <wp:anchor distT="0" distB="0" distL="0" distR="0" allowOverlap="1" layoutInCell="1" locked="0" behindDoc="1" simplePos="0" relativeHeight="486827520">
              <wp:simplePos x="0" y="0"/>
              <wp:positionH relativeFrom="page">
                <wp:posOffset>360000</wp:posOffset>
              </wp:positionH>
              <wp:positionV relativeFrom="page">
                <wp:posOffset>765570</wp:posOffset>
              </wp:positionV>
              <wp:extent cx="6840220" cy="12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6840220" cy="1270"/>
                      </a:xfrm>
                      <a:custGeom>
                        <a:avLst/>
                        <a:gdLst/>
                        <a:ahLst/>
                        <a:cxnLst/>
                        <a:rect l="l" t="t" r="r" b="b"/>
                        <a:pathLst>
                          <a:path w="6840220" h="0">
                            <a:moveTo>
                              <a:pt x="6840001" y="0"/>
                            </a:moveTo>
                            <a:lnTo>
                              <a:pt x="0" y="0"/>
                            </a:lnTo>
                          </a:path>
                        </a:pathLst>
                      </a:custGeom>
                      <a:ln w="12700">
                        <a:solidFill>
                          <a:srgbClr val="00447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88960" from="566.92922pt,60.281109pt" to="28.34646pt,60.281109pt" stroked="true" strokeweight="1pt" strokecolor="#004479">
              <v:stroke dashstyle="solid"/>
              <w10:wrap type="none"/>
            </v:line>
          </w:pict>
        </mc:Fallback>
      </mc:AlternateContent>
    </w:r>
    <w:r>
      <w:rPr/>
      <mc:AlternateContent>
        <mc:Choice Requires="wps">
          <w:drawing>
            <wp:anchor distT="0" distB="0" distL="0" distR="0" allowOverlap="1" layoutInCell="1" locked="0" behindDoc="1" simplePos="0" relativeHeight="486828032">
              <wp:simplePos x="0" y="0"/>
              <wp:positionH relativeFrom="page">
                <wp:posOffset>2625527</wp:posOffset>
              </wp:positionH>
              <wp:positionV relativeFrom="page">
                <wp:posOffset>361230</wp:posOffset>
              </wp:positionV>
              <wp:extent cx="2308860" cy="36322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308860" cy="363220"/>
                      </a:xfrm>
                      <a:prstGeom prst="rect">
                        <a:avLst/>
                      </a:prstGeom>
                    </wps:spPr>
                    <wps:txbx>
                      <w:txbxContent>
                        <w:p>
                          <w:pPr>
                            <w:spacing w:before="12"/>
                            <w:ind w:left="0" w:right="0" w:firstLine="0"/>
                            <w:jc w:val="center"/>
                            <w:rPr>
                              <w:sz w:val="24"/>
                            </w:rPr>
                          </w:pPr>
                          <w:r>
                            <w:rPr>
                              <w:color w:val="004479"/>
                              <w:sz w:val="24"/>
                            </w:rPr>
                            <w:t>BOLETÍN</w:t>
                          </w:r>
                          <w:r>
                            <w:rPr>
                              <w:color w:val="004479"/>
                              <w:spacing w:val="-5"/>
                              <w:sz w:val="24"/>
                            </w:rPr>
                            <w:t> </w:t>
                          </w:r>
                          <w:r>
                            <w:rPr>
                              <w:color w:val="004479"/>
                              <w:sz w:val="24"/>
                            </w:rPr>
                            <w:t>OFICIAL</w:t>
                          </w:r>
                          <w:r>
                            <w:rPr>
                              <w:color w:val="004479"/>
                              <w:spacing w:val="-5"/>
                              <w:sz w:val="24"/>
                            </w:rPr>
                            <w:t> </w:t>
                          </w:r>
                          <w:r>
                            <w:rPr>
                              <w:color w:val="004479"/>
                              <w:sz w:val="24"/>
                            </w:rPr>
                            <w:t>DEL</w:t>
                          </w:r>
                          <w:r>
                            <w:rPr>
                              <w:color w:val="004479"/>
                              <w:spacing w:val="-4"/>
                              <w:sz w:val="24"/>
                            </w:rPr>
                            <w:t> </w:t>
                          </w:r>
                          <w:r>
                            <w:rPr>
                              <w:color w:val="004479"/>
                              <w:spacing w:val="-2"/>
                              <w:sz w:val="24"/>
                            </w:rPr>
                            <w:t>ESTADO</w:t>
                          </w:r>
                        </w:p>
                        <w:p>
                          <w:pPr>
                            <w:pStyle w:val="BodyText"/>
                            <w:spacing w:before="34"/>
                            <w:ind w:left="0" w:firstLine="0"/>
                            <w:jc w:val="center"/>
                          </w:pPr>
                          <w:r>
                            <w:rPr>
                              <w:color w:val="004479"/>
                            </w:rPr>
                            <w:t>LEGISLACIÓN</w:t>
                          </w:r>
                          <w:r>
                            <w:rPr>
                              <w:color w:val="004479"/>
                              <w:spacing w:val="-10"/>
                            </w:rPr>
                            <w:t> </w:t>
                          </w:r>
                          <w:r>
                            <w:rPr>
                              <w:color w:val="004479"/>
                              <w:spacing w:val="-2"/>
                            </w:rPr>
                            <w:t>CONSOLIDADA</w:t>
                          </w:r>
                        </w:p>
                      </w:txbxContent>
                    </wps:txbx>
                    <wps:bodyPr wrap="square" lIns="0" tIns="0" rIns="0" bIns="0" rtlCol="0">
                      <a:noAutofit/>
                    </wps:bodyPr>
                  </wps:wsp>
                </a:graphicData>
              </a:graphic>
            </wp:anchor>
          </w:drawing>
        </mc:Choice>
        <mc:Fallback>
          <w:pict>
            <v:shape style="position:absolute;margin-left:206.734451pt;margin-top:28.443338pt;width:181.8pt;height:28.6pt;mso-position-horizontal-relative:page;mso-position-vertical-relative:page;z-index:-16488448" type="#_x0000_t202" id="docshape4" filled="false" stroked="false">
              <v:textbox inset="0,0,0,0">
                <w:txbxContent>
                  <w:p>
                    <w:pPr>
                      <w:spacing w:before="12"/>
                      <w:ind w:left="0" w:right="0" w:firstLine="0"/>
                      <w:jc w:val="center"/>
                      <w:rPr>
                        <w:sz w:val="24"/>
                      </w:rPr>
                    </w:pPr>
                    <w:r>
                      <w:rPr>
                        <w:color w:val="004479"/>
                        <w:sz w:val="24"/>
                      </w:rPr>
                      <w:t>BOLETÍN</w:t>
                    </w:r>
                    <w:r>
                      <w:rPr>
                        <w:color w:val="004479"/>
                        <w:spacing w:val="-5"/>
                        <w:sz w:val="24"/>
                      </w:rPr>
                      <w:t> </w:t>
                    </w:r>
                    <w:r>
                      <w:rPr>
                        <w:color w:val="004479"/>
                        <w:sz w:val="24"/>
                      </w:rPr>
                      <w:t>OFICIAL</w:t>
                    </w:r>
                    <w:r>
                      <w:rPr>
                        <w:color w:val="004479"/>
                        <w:spacing w:val="-5"/>
                        <w:sz w:val="24"/>
                      </w:rPr>
                      <w:t> </w:t>
                    </w:r>
                    <w:r>
                      <w:rPr>
                        <w:color w:val="004479"/>
                        <w:sz w:val="24"/>
                      </w:rPr>
                      <w:t>DEL</w:t>
                    </w:r>
                    <w:r>
                      <w:rPr>
                        <w:color w:val="004479"/>
                        <w:spacing w:val="-4"/>
                        <w:sz w:val="24"/>
                      </w:rPr>
                      <w:t> </w:t>
                    </w:r>
                    <w:r>
                      <w:rPr>
                        <w:color w:val="004479"/>
                        <w:spacing w:val="-2"/>
                        <w:sz w:val="24"/>
                      </w:rPr>
                      <w:t>ESTADO</w:t>
                    </w:r>
                  </w:p>
                  <w:p>
                    <w:pPr>
                      <w:pStyle w:val="BodyText"/>
                      <w:spacing w:before="34"/>
                      <w:ind w:left="0" w:firstLine="0"/>
                      <w:jc w:val="center"/>
                    </w:pPr>
                    <w:r>
                      <w:rPr>
                        <w:color w:val="004479"/>
                      </w:rPr>
                      <w:t>LEGISLACIÓN</w:t>
                    </w:r>
                    <w:r>
                      <w:rPr>
                        <w:color w:val="004479"/>
                        <w:spacing w:val="-10"/>
                      </w:rPr>
                      <w:t> </w:t>
                    </w:r>
                    <w:r>
                      <w:rPr>
                        <w:color w:val="004479"/>
                        <w:spacing w:val="-2"/>
                      </w:rPr>
                      <w:t>CONSOLIDADA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
    <w:multiLevelType w:val="hybridMultilevel"/>
    <w:lvl w:ilvl="0">
      <w:start w:val="1"/>
      <w:numFmt w:val="lowerLetter"/>
      <w:lvlText w:val="%1)"/>
      <w:lvlJc w:val="left"/>
      <w:pPr>
        <w:ind w:left="828" w:hanging="234"/>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701" w:hanging="234"/>
      </w:pPr>
      <w:rPr>
        <w:rFonts w:hint="default"/>
        <w:lang w:val="es-ES" w:eastAsia="en-US" w:bidi="ar-SA"/>
      </w:rPr>
    </w:lvl>
    <w:lvl w:ilvl="2">
      <w:start w:val="0"/>
      <w:numFmt w:val="bullet"/>
      <w:lvlText w:val="•"/>
      <w:lvlJc w:val="left"/>
      <w:pPr>
        <w:ind w:left="2583" w:hanging="234"/>
      </w:pPr>
      <w:rPr>
        <w:rFonts w:hint="default"/>
        <w:lang w:val="es-ES" w:eastAsia="en-US" w:bidi="ar-SA"/>
      </w:rPr>
    </w:lvl>
    <w:lvl w:ilvl="3">
      <w:start w:val="0"/>
      <w:numFmt w:val="bullet"/>
      <w:lvlText w:val="•"/>
      <w:lvlJc w:val="left"/>
      <w:pPr>
        <w:ind w:left="3465" w:hanging="234"/>
      </w:pPr>
      <w:rPr>
        <w:rFonts w:hint="default"/>
        <w:lang w:val="es-ES" w:eastAsia="en-US" w:bidi="ar-SA"/>
      </w:rPr>
    </w:lvl>
    <w:lvl w:ilvl="4">
      <w:start w:val="0"/>
      <w:numFmt w:val="bullet"/>
      <w:lvlText w:val="•"/>
      <w:lvlJc w:val="left"/>
      <w:pPr>
        <w:ind w:left="4347" w:hanging="234"/>
      </w:pPr>
      <w:rPr>
        <w:rFonts w:hint="default"/>
        <w:lang w:val="es-ES" w:eastAsia="en-US" w:bidi="ar-SA"/>
      </w:rPr>
    </w:lvl>
    <w:lvl w:ilvl="5">
      <w:start w:val="0"/>
      <w:numFmt w:val="bullet"/>
      <w:lvlText w:val="•"/>
      <w:lvlJc w:val="left"/>
      <w:pPr>
        <w:ind w:left="5229" w:hanging="234"/>
      </w:pPr>
      <w:rPr>
        <w:rFonts w:hint="default"/>
        <w:lang w:val="es-ES" w:eastAsia="en-US" w:bidi="ar-SA"/>
      </w:rPr>
    </w:lvl>
    <w:lvl w:ilvl="6">
      <w:start w:val="0"/>
      <w:numFmt w:val="bullet"/>
      <w:lvlText w:val="•"/>
      <w:lvlJc w:val="left"/>
      <w:pPr>
        <w:ind w:left="6111" w:hanging="234"/>
      </w:pPr>
      <w:rPr>
        <w:rFonts w:hint="default"/>
        <w:lang w:val="es-ES" w:eastAsia="en-US" w:bidi="ar-SA"/>
      </w:rPr>
    </w:lvl>
    <w:lvl w:ilvl="7">
      <w:start w:val="0"/>
      <w:numFmt w:val="bullet"/>
      <w:lvlText w:val="•"/>
      <w:lvlJc w:val="left"/>
      <w:pPr>
        <w:ind w:left="6992" w:hanging="234"/>
      </w:pPr>
      <w:rPr>
        <w:rFonts w:hint="default"/>
        <w:lang w:val="es-ES" w:eastAsia="en-US" w:bidi="ar-SA"/>
      </w:rPr>
    </w:lvl>
    <w:lvl w:ilvl="8">
      <w:start w:val="0"/>
      <w:numFmt w:val="bullet"/>
      <w:lvlText w:val="•"/>
      <w:lvlJc w:val="left"/>
      <w:pPr>
        <w:ind w:left="7874" w:hanging="234"/>
      </w:pPr>
      <w:rPr>
        <w:rFonts w:hint="default"/>
        <w:lang w:val="es-ES" w:eastAsia="en-US" w:bidi="ar-SA"/>
      </w:rPr>
    </w:lvl>
  </w:abstractNum>
  <w:abstractNum w:abstractNumId="23">
    <w:multiLevelType w:val="hybridMultilevel"/>
    <w:lvl w:ilvl="0">
      <w:start w:val="1"/>
      <w:numFmt w:val="decimal"/>
      <w:lvlText w:val="%1."/>
      <w:lvlJc w:val="left"/>
      <w:pPr>
        <w:ind w:left="255" w:hanging="232"/>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197" w:hanging="232"/>
      </w:pPr>
      <w:rPr>
        <w:rFonts w:hint="default"/>
        <w:lang w:val="es-ES" w:eastAsia="en-US" w:bidi="ar-SA"/>
      </w:rPr>
    </w:lvl>
    <w:lvl w:ilvl="2">
      <w:start w:val="0"/>
      <w:numFmt w:val="bullet"/>
      <w:lvlText w:val="•"/>
      <w:lvlJc w:val="left"/>
      <w:pPr>
        <w:ind w:left="2135" w:hanging="232"/>
      </w:pPr>
      <w:rPr>
        <w:rFonts w:hint="default"/>
        <w:lang w:val="es-ES" w:eastAsia="en-US" w:bidi="ar-SA"/>
      </w:rPr>
    </w:lvl>
    <w:lvl w:ilvl="3">
      <w:start w:val="0"/>
      <w:numFmt w:val="bullet"/>
      <w:lvlText w:val="•"/>
      <w:lvlJc w:val="left"/>
      <w:pPr>
        <w:ind w:left="3073" w:hanging="232"/>
      </w:pPr>
      <w:rPr>
        <w:rFonts w:hint="default"/>
        <w:lang w:val="es-ES" w:eastAsia="en-US" w:bidi="ar-SA"/>
      </w:rPr>
    </w:lvl>
    <w:lvl w:ilvl="4">
      <w:start w:val="0"/>
      <w:numFmt w:val="bullet"/>
      <w:lvlText w:val="•"/>
      <w:lvlJc w:val="left"/>
      <w:pPr>
        <w:ind w:left="4011" w:hanging="232"/>
      </w:pPr>
      <w:rPr>
        <w:rFonts w:hint="default"/>
        <w:lang w:val="es-ES" w:eastAsia="en-US" w:bidi="ar-SA"/>
      </w:rPr>
    </w:lvl>
    <w:lvl w:ilvl="5">
      <w:start w:val="0"/>
      <w:numFmt w:val="bullet"/>
      <w:lvlText w:val="•"/>
      <w:lvlJc w:val="left"/>
      <w:pPr>
        <w:ind w:left="4949" w:hanging="232"/>
      </w:pPr>
      <w:rPr>
        <w:rFonts w:hint="default"/>
        <w:lang w:val="es-ES" w:eastAsia="en-US" w:bidi="ar-SA"/>
      </w:rPr>
    </w:lvl>
    <w:lvl w:ilvl="6">
      <w:start w:val="0"/>
      <w:numFmt w:val="bullet"/>
      <w:lvlText w:val="•"/>
      <w:lvlJc w:val="left"/>
      <w:pPr>
        <w:ind w:left="5887" w:hanging="232"/>
      </w:pPr>
      <w:rPr>
        <w:rFonts w:hint="default"/>
        <w:lang w:val="es-ES" w:eastAsia="en-US" w:bidi="ar-SA"/>
      </w:rPr>
    </w:lvl>
    <w:lvl w:ilvl="7">
      <w:start w:val="0"/>
      <w:numFmt w:val="bullet"/>
      <w:lvlText w:val="•"/>
      <w:lvlJc w:val="left"/>
      <w:pPr>
        <w:ind w:left="6824" w:hanging="232"/>
      </w:pPr>
      <w:rPr>
        <w:rFonts w:hint="default"/>
        <w:lang w:val="es-ES" w:eastAsia="en-US" w:bidi="ar-SA"/>
      </w:rPr>
    </w:lvl>
    <w:lvl w:ilvl="8">
      <w:start w:val="0"/>
      <w:numFmt w:val="bullet"/>
      <w:lvlText w:val="•"/>
      <w:lvlJc w:val="left"/>
      <w:pPr>
        <w:ind w:left="7762" w:hanging="232"/>
      </w:pPr>
      <w:rPr>
        <w:rFonts w:hint="default"/>
        <w:lang w:val="es-ES" w:eastAsia="en-US" w:bidi="ar-SA"/>
      </w:rPr>
    </w:lvl>
  </w:abstractNum>
  <w:abstractNum w:abstractNumId="22">
    <w:multiLevelType w:val="hybridMultilevel"/>
    <w:lvl w:ilvl="0">
      <w:start w:val="1"/>
      <w:numFmt w:val="decimal"/>
      <w:lvlText w:val="%1."/>
      <w:lvlJc w:val="left"/>
      <w:pPr>
        <w:ind w:left="255" w:hanging="26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197" w:hanging="260"/>
      </w:pPr>
      <w:rPr>
        <w:rFonts w:hint="default"/>
        <w:lang w:val="es-ES" w:eastAsia="en-US" w:bidi="ar-SA"/>
      </w:rPr>
    </w:lvl>
    <w:lvl w:ilvl="2">
      <w:start w:val="0"/>
      <w:numFmt w:val="bullet"/>
      <w:lvlText w:val="•"/>
      <w:lvlJc w:val="left"/>
      <w:pPr>
        <w:ind w:left="2135" w:hanging="260"/>
      </w:pPr>
      <w:rPr>
        <w:rFonts w:hint="default"/>
        <w:lang w:val="es-ES" w:eastAsia="en-US" w:bidi="ar-SA"/>
      </w:rPr>
    </w:lvl>
    <w:lvl w:ilvl="3">
      <w:start w:val="0"/>
      <w:numFmt w:val="bullet"/>
      <w:lvlText w:val="•"/>
      <w:lvlJc w:val="left"/>
      <w:pPr>
        <w:ind w:left="3073" w:hanging="260"/>
      </w:pPr>
      <w:rPr>
        <w:rFonts w:hint="default"/>
        <w:lang w:val="es-ES" w:eastAsia="en-US" w:bidi="ar-SA"/>
      </w:rPr>
    </w:lvl>
    <w:lvl w:ilvl="4">
      <w:start w:val="0"/>
      <w:numFmt w:val="bullet"/>
      <w:lvlText w:val="•"/>
      <w:lvlJc w:val="left"/>
      <w:pPr>
        <w:ind w:left="4011" w:hanging="260"/>
      </w:pPr>
      <w:rPr>
        <w:rFonts w:hint="default"/>
        <w:lang w:val="es-ES" w:eastAsia="en-US" w:bidi="ar-SA"/>
      </w:rPr>
    </w:lvl>
    <w:lvl w:ilvl="5">
      <w:start w:val="0"/>
      <w:numFmt w:val="bullet"/>
      <w:lvlText w:val="•"/>
      <w:lvlJc w:val="left"/>
      <w:pPr>
        <w:ind w:left="4949" w:hanging="260"/>
      </w:pPr>
      <w:rPr>
        <w:rFonts w:hint="default"/>
        <w:lang w:val="es-ES" w:eastAsia="en-US" w:bidi="ar-SA"/>
      </w:rPr>
    </w:lvl>
    <w:lvl w:ilvl="6">
      <w:start w:val="0"/>
      <w:numFmt w:val="bullet"/>
      <w:lvlText w:val="•"/>
      <w:lvlJc w:val="left"/>
      <w:pPr>
        <w:ind w:left="5887" w:hanging="260"/>
      </w:pPr>
      <w:rPr>
        <w:rFonts w:hint="default"/>
        <w:lang w:val="es-ES" w:eastAsia="en-US" w:bidi="ar-SA"/>
      </w:rPr>
    </w:lvl>
    <w:lvl w:ilvl="7">
      <w:start w:val="0"/>
      <w:numFmt w:val="bullet"/>
      <w:lvlText w:val="•"/>
      <w:lvlJc w:val="left"/>
      <w:pPr>
        <w:ind w:left="6824" w:hanging="260"/>
      </w:pPr>
      <w:rPr>
        <w:rFonts w:hint="default"/>
        <w:lang w:val="es-ES" w:eastAsia="en-US" w:bidi="ar-SA"/>
      </w:rPr>
    </w:lvl>
    <w:lvl w:ilvl="8">
      <w:start w:val="0"/>
      <w:numFmt w:val="bullet"/>
      <w:lvlText w:val="•"/>
      <w:lvlJc w:val="left"/>
      <w:pPr>
        <w:ind w:left="7762" w:hanging="260"/>
      </w:pPr>
      <w:rPr>
        <w:rFonts w:hint="default"/>
        <w:lang w:val="es-ES" w:eastAsia="en-US" w:bidi="ar-SA"/>
      </w:rPr>
    </w:lvl>
  </w:abstractNum>
  <w:abstractNum w:abstractNumId="21">
    <w:multiLevelType w:val="hybridMultilevel"/>
    <w:lvl w:ilvl="0">
      <w:start w:val="1"/>
      <w:numFmt w:val="decimal"/>
      <w:lvlText w:val="%1."/>
      <w:lvlJc w:val="left"/>
      <w:pPr>
        <w:ind w:left="935" w:hanging="238"/>
        <w:jc w:val="right"/>
      </w:pPr>
      <w:rPr>
        <w:rFonts w:hint="default" w:ascii="Arial" w:hAnsi="Arial" w:eastAsia="Arial" w:cs="Arial"/>
        <w:b w:val="0"/>
        <w:bCs w:val="0"/>
        <w:i w:val="0"/>
        <w:iCs w:val="0"/>
        <w:spacing w:val="0"/>
        <w:w w:val="86"/>
        <w:sz w:val="20"/>
        <w:szCs w:val="20"/>
        <w:lang w:val="es-ES" w:eastAsia="en-US" w:bidi="ar-SA"/>
      </w:rPr>
    </w:lvl>
    <w:lvl w:ilvl="1">
      <w:start w:val="1"/>
      <w:numFmt w:val="lowerLetter"/>
      <w:lvlText w:val="%2)"/>
      <w:lvlJc w:val="left"/>
      <w:pPr>
        <w:ind w:left="935" w:hanging="302"/>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2679" w:hanging="302"/>
      </w:pPr>
      <w:rPr>
        <w:rFonts w:hint="default"/>
        <w:lang w:val="es-ES" w:eastAsia="en-US" w:bidi="ar-SA"/>
      </w:rPr>
    </w:lvl>
    <w:lvl w:ilvl="3">
      <w:start w:val="0"/>
      <w:numFmt w:val="bullet"/>
      <w:lvlText w:val="•"/>
      <w:lvlJc w:val="left"/>
      <w:pPr>
        <w:ind w:left="3549" w:hanging="302"/>
      </w:pPr>
      <w:rPr>
        <w:rFonts w:hint="default"/>
        <w:lang w:val="es-ES" w:eastAsia="en-US" w:bidi="ar-SA"/>
      </w:rPr>
    </w:lvl>
    <w:lvl w:ilvl="4">
      <w:start w:val="0"/>
      <w:numFmt w:val="bullet"/>
      <w:lvlText w:val="•"/>
      <w:lvlJc w:val="left"/>
      <w:pPr>
        <w:ind w:left="4419" w:hanging="302"/>
      </w:pPr>
      <w:rPr>
        <w:rFonts w:hint="default"/>
        <w:lang w:val="es-ES" w:eastAsia="en-US" w:bidi="ar-SA"/>
      </w:rPr>
    </w:lvl>
    <w:lvl w:ilvl="5">
      <w:start w:val="0"/>
      <w:numFmt w:val="bullet"/>
      <w:lvlText w:val="•"/>
      <w:lvlJc w:val="left"/>
      <w:pPr>
        <w:ind w:left="5289" w:hanging="302"/>
      </w:pPr>
      <w:rPr>
        <w:rFonts w:hint="default"/>
        <w:lang w:val="es-ES" w:eastAsia="en-US" w:bidi="ar-SA"/>
      </w:rPr>
    </w:lvl>
    <w:lvl w:ilvl="6">
      <w:start w:val="0"/>
      <w:numFmt w:val="bullet"/>
      <w:lvlText w:val="•"/>
      <w:lvlJc w:val="left"/>
      <w:pPr>
        <w:ind w:left="6159" w:hanging="302"/>
      </w:pPr>
      <w:rPr>
        <w:rFonts w:hint="default"/>
        <w:lang w:val="es-ES" w:eastAsia="en-US" w:bidi="ar-SA"/>
      </w:rPr>
    </w:lvl>
    <w:lvl w:ilvl="7">
      <w:start w:val="0"/>
      <w:numFmt w:val="bullet"/>
      <w:lvlText w:val="•"/>
      <w:lvlJc w:val="left"/>
      <w:pPr>
        <w:ind w:left="7028" w:hanging="302"/>
      </w:pPr>
      <w:rPr>
        <w:rFonts w:hint="default"/>
        <w:lang w:val="es-ES" w:eastAsia="en-US" w:bidi="ar-SA"/>
      </w:rPr>
    </w:lvl>
    <w:lvl w:ilvl="8">
      <w:start w:val="0"/>
      <w:numFmt w:val="bullet"/>
      <w:lvlText w:val="•"/>
      <w:lvlJc w:val="left"/>
      <w:pPr>
        <w:ind w:left="7898" w:hanging="302"/>
      </w:pPr>
      <w:rPr>
        <w:rFonts w:hint="default"/>
        <w:lang w:val="es-ES" w:eastAsia="en-US" w:bidi="ar-SA"/>
      </w:rPr>
    </w:lvl>
  </w:abstractNum>
  <w:abstractNum w:abstractNumId="20">
    <w:multiLevelType w:val="hybridMultilevel"/>
    <w:lvl w:ilvl="0">
      <w:start w:val="1"/>
      <w:numFmt w:val="decimal"/>
      <w:lvlText w:val="%1."/>
      <w:lvlJc w:val="left"/>
      <w:pPr>
        <w:ind w:left="935" w:hanging="229"/>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935" w:hanging="256"/>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2679" w:hanging="256"/>
      </w:pPr>
      <w:rPr>
        <w:rFonts w:hint="default"/>
        <w:lang w:val="es-ES" w:eastAsia="en-US" w:bidi="ar-SA"/>
      </w:rPr>
    </w:lvl>
    <w:lvl w:ilvl="3">
      <w:start w:val="0"/>
      <w:numFmt w:val="bullet"/>
      <w:lvlText w:val="•"/>
      <w:lvlJc w:val="left"/>
      <w:pPr>
        <w:ind w:left="3549" w:hanging="256"/>
      </w:pPr>
      <w:rPr>
        <w:rFonts w:hint="default"/>
        <w:lang w:val="es-ES" w:eastAsia="en-US" w:bidi="ar-SA"/>
      </w:rPr>
    </w:lvl>
    <w:lvl w:ilvl="4">
      <w:start w:val="0"/>
      <w:numFmt w:val="bullet"/>
      <w:lvlText w:val="•"/>
      <w:lvlJc w:val="left"/>
      <w:pPr>
        <w:ind w:left="4419" w:hanging="256"/>
      </w:pPr>
      <w:rPr>
        <w:rFonts w:hint="default"/>
        <w:lang w:val="es-ES" w:eastAsia="en-US" w:bidi="ar-SA"/>
      </w:rPr>
    </w:lvl>
    <w:lvl w:ilvl="5">
      <w:start w:val="0"/>
      <w:numFmt w:val="bullet"/>
      <w:lvlText w:val="•"/>
      <w:lvlJc w:val="left"/>
      <w:pPr>
        <w:ind w:left="5289" w:hanging="256"/>
      </w:pPr>
      <w:rPr>
        <w:rFonts w:hint="default"/>
        <w:lang w:val="es-ES" w:eastAsia="en-US" w:bidi="ar-SA"/>
      </w:rPr>
    </w:lvl>
    <w:lvl w:ilvl="6">
      <w:start w:val="0"/>
      <w:numFmt w:val="bullet"/>
      <w:lvlText w:val="•"/>
      <w:lvlJc w:val="left"/>
      <w:pPr>
        <w:ind w:left="6159" w:hanging="256"/>
      </w:pPr>
      <w:rPr>
        <w:rFonts w:hint="default"/>
        <w:lang w:val="es-ES" w:eastAsia="en-US" w:bidi="ar-SA"/>
      </w:rPr>
    </w:lvl>
    <w:lvl w:ilvl="7">
      <w:start w:val="0"/>
      <w:numFmt w:val="bullet"/>
      <w:lvlText w:val="•"/>
      <w:lvlJc w:val="left"/>
      <w:pPr>
        <w:ind w:left="7028" w:hanging="256"/>
      </w:pPr>
      <w:rPr>
        <w:rFonts w:hint="default"/>
        <w:lang w:val="es-ES" w:eastAsia="en-US" w:bidi="ar-SA"/>
      </w:rPr>
    </w:lvl>
    <w:lvl w:ilvl="8">
      <w:start w:val="0"/>
      <w:numFmt w:val="bullet"/>
      <w:lvlText w:val="•"/>
      <w:lvlJc w:val="left"/>
      <w:pPr>
        <w:ind w:left="7898" w:hanging="256"/>
      </w:pPr>
      <w:rPr>
        <w:rFonts w:hint="default"/>
        <w:lang w:val="es-ES" w:eastAsia="en-US" w:bidi="ar-SA"/>
      </w:rPr>
    </w:lvl>
  </w:abstractNum>
  <w:abstractNum w:abstractNumId="19">
    <w:multiLevelType w:val="hybridMultilevel"/>
    <w:lvl w:ilvl="0">
      <w:start w:val="1"/>
      <w:numFmt w:val="decimal"/>
      <w:lvlText w:val="%1."/>
      <w:lvlJc w:val="left"/>
      <w:pPr>
        <w:ind w:left="935" w:hanging="256"/>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935" w:hanging="245"/>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2679" w:hanging="245"/>
      </w:pPr>
      <w:rPr>
        <w:rFonts w:hint="default"/>
        <w:lang w:val="es-ES" w:eastAsia="en-US" w:bidi="ar-SA"/>
      </w:rPr>
    </w:lvl>
    <w:lvl w:ilvl="3">
      <w:start w:val="0"/>
      <w:numFmt w:val="bullet"/>
      <w:lvlText w:val="•"/>
      <w:lvlJc w:val="left"/>
      <w:pPr>
        <w:ind w:left="3549" w:hanging="245"/>
      </w:pPr>
      <w:rPr>
        <w:rFonts w:hint="default"/>
        <w:lang w:val="es-ES" w:eastAsia="en-US" w:bidi="ar-SA"/>
      </w:rPr>
    </w:lvl>
    <w:lvl w:ilvl="4">
      <w:start w:val="0"/>
      <w:numFmt w:val="bullet"/>
      <w:lvlText w:val="•"/>
      <w:lvlJc w:val="left"/>
      <w:pPr>
        <w:ind w:left="4419" w:hanging="245"/>
      </w:pPr>
      <w:rPr>
        <w:rFonts w:hint="default"/>
        <w:lang w:val="es-ES" w:eastAsia="en-US" w:bidi="ar-SA"/>
      </w:rPr>
    </w:lvl>
    <w:lvl w:ilvl="5">
      <w:start w:val="0"/>
      <w:numFmt w:val="bullet"/>
      <w:lvlText w:val="•"/>
      <w:lvlJc w:val="left"/>
      <w:pPr>
        <w:ind w:left="5289" w:hanging="245"/>
      </w:pPr>
      <w:rPr>
        <w:rFonts w:hint="default"/>
        <w:lang w:val="es-ES" w:eastAsia="en-US" w:bidi="ar-SA"/>
      </w:rPr>
    </w:lvl>
    <w:lvl w:ilvl="6">
      <w:start w:val="0"/>
      <w:numFmt w:val="bullet"/>
      <w:lvlText w:val="•"/>
      <w:lvlJc w:val="left"/>
      <w:pPr>
        <w:ind w:left="6159" w:hanging="245"/>
      </w:pPr>
      <w:rPr>
        <w:rFonts w:hint="default"/>
        <w:lang w:val="es-ES" w:eastAsia="en-US" w:bidi="ar-SA"/>
      </w:rPr>
    </w:lvl>
    <w:lvl w:ilvl="7">
      <w:start w:val="0"/>
      <w:numFmt w:val="bullet"/>
      <w:lvlText w:val="•"/>
      <w:lvlJc w:val="left"/>
      <w:pPr>
        <w:ind w:left="7028" w:hanging="245"/>
      </w:pPr>
      <w:rPr>
        <w:rFonts w:hint="default"/>
        <w:lang w:val="es-ES" w:eastAsia="en-US" w:bidi="ar-SA"/>
      </w:rPr>
    </w:lvl>
    <w:lvl w:ilvl="8">
      <w:start w:val="0"/>
      <w:numFmt w:val="bullet"/>
      <w:lvlText w:val="•"/>
      <w:lvlJc w:val="left"/>
      <w:pPr>
        <w:ind w:left="7898" w:hanging="245"/>
      </w:pPr>
      <w:rPr>
        <w:rFonts w:hint="default"/>
        <w:lang w:val="es-ES" w:eastAsia="en-US" w:bidi="ar-SA"/>
      </w:rPr>
    </w:lvl>
  </w:abstractNum>
  <w:abstractNum w:abstractNumId="18">
    <w:multiLevelType w:val="hybridMultilevel"/>
    <w:lvl w:ilvl="0">
      <w:start w:val="1"/>
      <w:numFmt w:val="decimal"/>
      <w:lvlText w:val="%1."/>
      <w:lvlJc w:val="left"/>
      <w:pPr>
        <w:ind w:left="255" w:hanging="24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935" w:hanging="253"/>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906" w:hanging="253"/>
      </w:pPr>
      <w:rPr>
        <w:rFonts w:hint="default"/>
        <w:lang w:val="es-ES" w:eastAsia="en-US" w:bidi="ar-SA"/>
      </w:rPr>
    </w:lvl>
    <w:lvl w:ilvl="3">
      <w:start w:val="0"/>
      <w:numFmt w:val="bullet"/>
      <w:lvlText w:val="•"/>
      <w:lvlJc w:val="left"/>
      <w:pPr>
        <w:ind w:left="2873" w:hanging="253"/>
      </w:pPr>
      <w:rPr>
        <w:rFonts w:hint="default"/>
        <w:lang w:val="es-ES" w:eastAsia="en-US" w:bidi="ar-SA"/>
      </w:rPr>
    </w:lvl>
    <w:lvl w:ilvl="4">
      <w:start w:val="0"/>
      <w:numFmt w:val="bullet"/>
      <w:lvlText w:val="•"/>
      <w:lvlJc w:val="left"/>
      <w:pPr>
        <w:ind w:left="3839" w:hanging="253"/>
      </w:pPr>
      <w:rPr>
        <w:rFonts w:hint="default"/>
        <w:lang w:val="es-ES" w:eastAsia="en-US" w:bidi="ar-SA"/>
      </w:rPr>
    </w:lvl>
    <w:lvl w:ilvl="5">
      <w:start w:val="0"/>
      <w:numFmt w:val="bullet"/>
      <w:lvlText w:val="•"/>
      <w:lvlJc w:val="left"/>
      <w:pPr>
        <w:ind w:left="4806" w:hanging="253"/>
      </w:pPr>
      <w:rPr>
        <w:rFonts w:hint="default"/>
        <w:lang w:val="es-ES" w:eastAsia="en-US" w:bidi="ar-SA"/>
      </w:rPr>
    </w:lvl>
    <w:lvl w:ilvl="6">
      <w:start w:val="0"/>
      <w:numFmt w:val="bullet"/>
      <w:lvlText w:val="•"/>
      <w:lvlJc w:val="left"/>
      <w:pPr>
        <w:ind w:left="5772" w:hanging="253"/>
      </w:pPr>
      <w:rPr>
        <w:rFonts w:hint="default"/>
        <w:lang w:val="es-ES" w:eastAsia="en-US" w:bidi="ar-SA"/>
      </w:rPr>
    </w:lvl>
    <w:lvl w:ilvl="7">
      <w:start w:val="0"/>
      <w:numFmt w:val="bullet"/>
      <w:lvlText w:val="•"/>
      <w:lvlJc w:val="left"/>
      <w:pPr>
        <w:ind w:left="6739" w:hanging="253"/>
      </w:pPr>
      <w:rPr>
        <w:rFonts w:hint="default"/>
        <w:lang w:val="es-ES" w:eastAsia="en-US" w:bidi="ar-SA"/>
      </w:rPr>
    </w:lvl>
    <w:lvl w:ilvl="8">
      <w:start w:val="0"/>
      <w:numFmt w:val="bullet"/>
      <w:lvlText w:val="•"/>
      <w:lvlJc w:val="left"/>
      <w:pPr>
        <w:ind w:left="7705" w:hanging="253"/>
      </w:pPr>
      <w:rPr>
        <w:rFonts w:hint="default"/>
        <w:lang w:val="es-ES" w:eastAsia="en-US" w:bidi="ar-SA"/>
      </w:rPr>
    </w:lvl>
  </w:abstractNum>
  <w:abstractNum w:abstractNumId="17">
    <w:multiLevelType w:val="hybridMultilevel"/>
    <w:lvl w:ilvl="0">
      <w:start w:val="1"/>
      <w:numFmt w:val="decimal"/>
      <w:lvlText w:val="%1."/>
      <w:lvlJc w:val="left"/>
      <w:pPr>
        <w:ind w:left="255" w:hanging="232"/>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935" w:hanging="241"/>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906" w:hanging="241"/>
      </w:pPr>
      <w:rPr>
        <w:rFonts w:hint="default"/>
        <w:lang w:val="es-ES" w:eastAsia="en-US" w:bidi="ar-SA"/>
      </w:rPr>
    </w:lvl>
    <w:lvl w:ilvl="3">
      <w:start w:val="0"/>
      <w:numFmt w:val="bullet"/>
      <w:lvlText w:val="•"/>
      <w:lvlJc w:val="left"/>
      <w:pPr>
        <w:ind w:left="2873" w:hanging="241"/>
      </w:pPr>
      <w:rPr>
        <w:rFonts w:hint="default"/>
        <w:lang w:val="es-ES" w:eastAsia="en-US" w:bidi="ar-SA"/>
      </w:rPr>
    </w:lvl>
    <w:lvl w:ilvl="4">
      <w:start w:val="0"/>
      <w:numFmt w:val="bullet"/>
      <w:lvlText w:val="•"/>
      <w:lvlJc w:val="left"/>
      <w:pPr>
        <w:ind w:left="3839" w:hanging="241"/>
      </w:pPr>
      <w:rPr>
        <w:rFonts w:hint="default"/>
        <w:lang w:val="es-ES" w:eastAsia="en-US" w:bidi="ar-SA"/>
      </w:rPr>
    </w:lvl>
    <w:lvl w:ilvl="5">
      <w:start w:val="0"/>
      <w:numFmt w:val="bullet"/>
      <w:lvlText w:val="•"/>
      <w:lvlJc w:val="left"/>
      <w:pPr>
        <w:ind w:left="4806" w:hanging="241"/>
      </w:pPr>
      <w:rPr>
        <w:rFonts w:hint="default"/>
        <w:lang w:val="es-ES" w:eastAsia="en-US" w:bidi="ar-SA"/>
      </w:rPr>
    </w:lvl>
    <w:lvl w:ilvl="6">
      <w:start w:val="0"/>
      <w:numFmt w:val="bullet"/>
      <w:lvlText w:val="•"/>
      <w:lvlJc w:val="left"/>
      <w:pPr>
        <w:ind w:left="5772" w:hanging="241"/>
      </w:pPr>
      <w:rPr>
        <w:rFonts w:hint="default"/>
        <w:lang w:val="es-ES" w:eastAsia="en-US" w:bidi="ar-SA"/>
      </w:rPr>
    </w:lvl>
    <w:lvl w:ilvl="7">
      <w:start w:val="0"/>
      <w:numFmt w:val="bullet"/>
      <w:lvlText w:val="•"/>
      <w:lvlJc w:val="left"/>
      <w:pPr>
        <w:ind w:left="6739" w:hanging="241"/>
      </w:pPr>
      <w:rPr>
        <w:rFonts w:hint="default"/>
        <w:lang w:val="es-ES" w:eastAsia="en-US" w:bidi="ar-SA"/>
      </w:rPr>
    </w:lvl>
    <w:lvl w:ilvl="8">
      <w:start w:val="0"/>
      <w:numFmt w:val="bullet"/>
      <w:lvlText w:val="•"/>
      <w:lvlJc w:val="left"/>
      <w:pPr>
        <w:ind w:left="7705" w:hanging="241"/>
      </w:pPr>
      <w:rPr>
        <w:rFonts w:hint="default"/>
        <w:lang w:val="es-ES" w:eastAsia="en-US" w:bidi="ar-SA"/>
      </w:rPr>
    </w:lvl>
  </w:abstractNum>
  <w:abstractNum w:abstractNumId="16">
    <w:multiLevelType w:val="hybridMultilevel"/>
    <w:lvl w:ilvl="0">
      <w:start w:val="1"/>
      <w:numFmt w:val="decimal"/>
      <w:lvlText w:val="%1."/>
      <w:lvlJc w:val="left"/>
      <w:pPr>
        <w:ind w:left="255" w:hanging="22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828"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9" w:hanging="234"/>
      </w:pPr>
      <w:rPr>
        <w:rFonts w:hint="default"/>
        <w:lang w:val="es-ES" w:eastAsia="en-US" w:bidi="ar-SA"/>
      </w:rPr>
    </w:lvl>
    <w:lvl w:ilvl="3">
      <w:start w:val="0"/>
      <w:numFmt w:val="bullet"/>
      <w:lvlText w:val="•"/>
      <w:lvlJc w:val="left"/>
      <w:pPr>
        <w:ind w:left="2779" w:hanging="234"/>
      </w:pPr>
      <w:rPr>
        <w:rFonts w:hint="default"/>
        <w:lang w:val="es-ES" w:eastAsia="en-US" w:bidi="ar-SA"/>
      </w:rPr>
    </w:lvl>
    <w:lvl w:ilvl="4">
      <w:start w:val="0"/>
      <w:numFmt w:val="bullet"/>
      <w:lvlText w:val="•"/>
      <w:lvlJc w:val="left"/>
      <w:pPr>
        <w:ind w:left="3759" w:hanging="234"/>
      </w:pPr>
      <w:rPr>
        <w:rFonts w:hint="default"/>
        <w:lang w:val="es-ES" w:eastAsia="en-US" w:bidi="ar-SA"/>
      </w:rPr>
    </w:lvl>
    <w:lvl w:ilvl="5">
      <w:start w:val="0"/>
      <w:numFmt w:val="bullet"/>
      <w:lvlText w:val="•"/>
      <w:lvlJc w:val="left"/>
      <w:pPr>
        <w:ind w:left="4739" w:hanging="234"/>
      </w:pPr>
      <w:rPr>
        <w:rFonts w:hint="default"/>
        <w:lang w:val="es-ES" w:eastAsia="en-US" w:bidi="ar-SA"/>
      </w:rPr>
    </w:lvl>
    <w:lvl w:ilvl="6">
      <w:start w:val="0"/>
      <w:numFmt w:val="bullet"/>
      <w:lvlText w:val="•"/>
      <w:lvlJc w:val="left"/>
      <w:pPr>
        <w:ind w:left="5719" w:hanging="234"/>
      </w:pPr>
      <w:rPr>
        <w:rFonts w:hint="default"/>
        <w:lang w:val="es-ES" w:eastAsia="en-US" w:bidi="ar-SA"/>
      </w:rPr>
    </w:lvl>
    <w:lvl w:ilvl="7">
      <w:start w:val="0"/>
      <w:numFmt w:val="bullet"/>
      <w:lvlText w:val="•"/>
      <w:lvlJc w:val="left"/>
      <w:pPr>
        <w:ind w:left="6699" w:hanging="234"/>
      </w:pPr>
      <w:rPr>
        <w:rFonts w:hint="default"/>
        <w:lang w:val="es-ES" w:eastAsia="en-US" w:bidi="ar-SA"/>
      </w:rPr>
    </w:lvl>
    <w:lvl w:ilvl="8">
      <w:start w:val="0"/>
      <w:numFmt w:val="bullet"/>
      <w:lvlText w:val="•"/>
      <w:lvlJc w:val="left"/>
      <w:pPr>
        <w:ind w:left="7678" w:hanging="234"/>
      </w:pPr>
      <w:rPr>
        <w:rFonts w:hint="default"/>
        <w:lang w:val="es-ES" w:eastAsia="en-US" w:bidi="ar-SA"/>
      </w:rPr>
    </w:lvl>
  </w:abstractNum>
  <w:abstractNum w:abstractNumId="15">
    <w:multiLevelType w:val="hybridMultilevel"/>
    <w:lvl w:ilvl="0">
      <w:start w:val="1"/>
      <w:numFmt w:val="decimal"/>
      <w:lvlText w:val="%1."/>
      <w:lvlJc w:val="left"/>
      <w:pPr>
        <w:ind w:left="255" w:hanging="27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197" w:hanging="277"/>
      </w:pPr>
      <w:rPr>
        <w:rFonts w:hint="default"/>
        <w:lang w:val="es-ES" w:eastAsia="en-US" w:bidi="ar-SA"/>
      </w:rPr>
    </w:lvl>
    <w:lvl w:ilvl="2">
      <w:start w:val="0"/>
      <w:numFmt w:val="bullet"/>
      <w:lvlText w:val="•"/>
      <w:lvlJc w:val="left"/>
      <w:pPr>
        <w:ind w:left="2135" w:hanging="277"/>
      </w:pPr>
      <w:rPr>
        <w:rFonts w:hint="default"/>
        <w:lang w:val="es-ES" w:eastAsia="en-US" w:bidi="ar-SA"/>
      </w:rPr>
    </w:lvl>
    <w:lvl w:ilvl="3">
      <w:start w:val="0"/>
      <w:numFmt w:val="bullet"/>
      <w:lvlText w:val="•"/>
      <w:lvlJc w:val="left"/>
      <w:pPr>
        <w:ind w:left="3073" w:hanging="277"/>
      </w:pPr>
      <w:rPr>
        <w:rFonts w:hint="default"/>
        <w:lang w:val="es-ES" w:eastAsia="en-US" w:bidi="ar-SA"/>
      </w:rPr>
    </w:lvl>
    <w:lvl w:ilvl="4">
      <w:start w:val="0"/>
      <w:numFmt w:val="bullet"/>
      <w:lvlText w:val="•"/>
      <w:lvlJc w:val="left"/>
      <w:pPr>
        <w:ind w:left="4011" w:hanging="277"/>
      </w:pPr>
      <w:rPr>
        <w:rFonts w:hint="default"/>
        <w:lang w:val="es-ES" w:eastAsia="en-US" w:bidi="ar-SA"/>
      </w:rPr>
    </w:lvl>
    <w:lvl w:ilvl="5">
      <w:start w:val="0"/>
      <w:numFmt w:val="bullet"/>
      <w:lvlText w:val="•"/>
      <w:lvlJc w:val="left"/>
      <w:pPr>
        <w:ind w:left="4949" w:hanging="277"/>
      </w:pPr>
      <w:rPr>
        <w:rFonts w:hint="default"/>
        <w:lang w:val="es-ES" w:eastAsia="en-US" w:bidi="ar-SA"/>
      </w:rPr>
    </w:lvl>
    <w:lvl w:ilvl="6">
      <w:start w:val="0"/>
      <w:numFmt w:val="bullet"/>
      <w:lvlText w:val="•"/>
      <w:lvlJc w:val="left"/>
      <w:pPr>
        <w:ind w:left="5887" w:hanging="277"/>
      </w:pPr>
      <w:rPr>
        <w:rFonts w:hint="default"/>
        <w:lang w:val="es-ES" w:eastAsia="en-US" w:bidi="ar-SA"/>
      </w:rPr>
    </w:lvl>
    <w:lvl w:ilvl="7">
      <w:start w:val="0"/>
      <w:numFmt w:val="bullet"/>
      <w:lvlText w:val="•"/>
      <w:lvlJc w:val="left"/>
      <w:pPr>
        <w:ind w:left="6824" w:hanging="277"/>
      </w:pPr>
      <w:rPr>
        <w:rFonts w:hint="default"/>
        <w:lang w:val="es-ES" w:eastAsia="en-US" w:bidi="ar-SA"/>
      </w:rPr>
    </w:lvl>
    <w:lvl w:ilvl="8">
      <w:start w:val="0"/>
      <w:numFmt w:val="bullet"/>
      <w:lvlText w:val="•"/>
      <w:lvlJc w:val="left"/>
      <w:pPr>
        <w:ind w:left="7762" w:hanging="277"/>
      </w:pPr>
      <w:rPr>
        <w:rFonts w:hint="default"/>
        <w:lang w:val="es-ES" w:eastAsia="en-US" w:bidi="ar-SA"/>
      </w:rPr>
    </w:lvl>
  </w:abstractNum>
  <w:abstractNum w:abstractNumId="14">
    <w:multiLevelType w:val="hybridMultilevel"/>
    <w:lvl w:ilvl="0">
      <w:start w:val="1"/>
      <w:numFmt w:val="decimal"/>
      <w:lvlText w:val="%1."/>
      <w:lvlJc w:val="left"/>
      <w:pPr>
        <w:ind w:left="255" w:hanging="266"/>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197" w:hanging="266"/>
      </w:pPr>
      <w:rPr>
        <w:rFonts w:hint="default"/>
        <w:lang w:val="es-ES" w:eastAsia="en-US" w:bidi="ar-SA"/>
      </w:rPr>
    </w:lvl>
    <w:lvl w:ilvl="2">
      <w:start w:val="0"/>
      <w:numFmt w:val="bullet"/>
      <w:lvlText w:val="•"/>
      <w:lvlJc w:val="left"/>
      <w:pPr>
        <w:ind w:left="2135" w:hanging="266"/>
      </w:pPr>
      <w:rPr>
        <w:rFonts w:hint="default"/>
        <w:lang w:val="es-ES" w:eastAsia="en-US" w:bidi="ar-SA"/>
      </w:rPr>
    </w:lvl>
    <w:lvl w:ilvl="3">
      <w:start w:val="0"/>
      <w:numFmt w:val="bullet"/>
      <w:lvlText w:val="•"/>
      <w:lvlJc w:val="left"/>
      <w:pPr>
        <w:ind w:left="3073" w:hanging="266"/>
      </w:pPr>
      <w:rPr>
        <w:rFonts w:hint="default"/>
        <w:lang w:val="es-ES" w:eastAsia="en-US" w:bidi="ar-SA"/>
      </w:rPr>
    </w:lvl>
    <w:lvl w:ilvl="4">
      <w:start w:val="0"/>
      <w:numFmt w:val="bullet"/>
      <w:lvlText w:val="•"/>
      <w:lvlJc w:val="left"/>
      <w:pPr>
        <w:ind w:left="4011" w:hanging="266"/>
      </w:pPr>
      <w:rPr>
        <w:rFonts w:hint="default"/>
        <w:lang w:val="es-ES" w:eastAsia="en-US" w:bidi="ar-SA"/>
      </w:rPr>
    </w:lvl>
    <w:lvl w:ilvl="5">
      <w:start w:val="0"/>
      <w:numFmt w:val="bullet"/>
      <w:lvlText w:val="•"/>
      <w:lvlJc w:val="left"/>
      <w:pPr>
        <w:ind w:left="4949" w:hanging="266"/>
      </w:pPr>
      <w:rPr>
        <w:rFonts w:hint="default"/>
        <w:lang w:val="es-ES" w:eastAsia="en-US" w:bidi="ar-SA"/>
      </w:rPr>
    </w:lvl>
    <w:lvl w:ilvl="6">
      <w:start w:val="0"/>
      <w:numFmt w:val="bullet"/>
      <w:lvlText w:val="•"/>
      <w:lvlJc w:val="left"/>
      <w:pPr>
        <w:ind w:left="5887" w:hanging="266"/>
      </w:pPr>
      <w:rPr>
        <w:rFonts w:hint="default"/>
        <w:lang w:val="es-ES" w:eastAsia="en-US" w:bidi="ar-SA"/>
      </w:rPr>
    </w:lvl>
    <w:lvl w:ilvl="7">
      <w:start w:val="0"/>
      <w:numFmt w:val="bullet"/>
      <w:lvlText w:val="•"/>
      <w:lvlJc w:val="left"/>
      <w:pPr>
        <w:ind w:left="6824" w:hanging="266"/>
      </w:pPr>
      <w:rPr>
        <w:rFonts w:hint="default"/>
        <w:lang w:val="es-ES" w:eastAsia="en-US" w:bidi="ar-SA"/>
      </w:rPr>
    </w:lvl>
    <w:lvl w:ilvl="8">
      <w:start w:val="0"/>
      <w:numFmt w:val="bullet"/>
      <w:lvlText w:val="•"/>
      <w:lvlJc w:val="left"/>
      <w:pPr>
        <w:ind w:left="7762" w:hanging="266"/>
      </w:pPr>
      <w:rPr>
        <w:rFonts w:hint="default"/>
        <w:lang w:val="es-ES" w:eastAsia="en-US" w:bidi="ar-SA"/>
      </w:rPr>
    </w:lvl>
  </w:abstractNum>
  <w:abstractNum w:abstractNumId="13">
    <w:multiLevelType w:val="hybridMultilevel"/>
    <w:lvl w:ilvl="0">
      <w:start w:val="1"/>
      <w:numFmt w:val="decimal"/>
      <w:lvlText w:val="%1."/>
      <w:lvlJc w:val="left"/>
      <w:pPr>
        <w:ind w:left="255" w:hanging="251"/>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55" w:hanging="249"/>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2135" w:hanging="249"/>
      </w:pPr>
      <w:rPr>
        <w:rFonts w:hint="default"/>
        <w:lang w:val="es-ES" w:eastAsia="en-US" w:bidi="ar-SA"/>
      </w:rPr>
    </w:lvl>
    <w:lvl w:ilvl="3">
      <w:start w:val="0"/>
      <w:numFmt w:val="bullet"/>
      <w:lvlText w:val="•"/>
      <w:lvlJc w:val="left"/>
      <w:pPr>
        <w:ind w:left="3073" w:hanging="249"/>
      </w:pPr>
      <w:rPr>
        <w:rFonts w:hint="default"/>
        <w:lang w:val="es-ES" w:eastAsia="en-US" w:bidi="ar-SA"/>
      </w:rPr>
    </w:lvl>
    <w:lvl w:ilvl="4">
      <w:start w:val="0"/>
      <w:numFmt w:val="bullet"/>
      <w:lvlText w:val="•"/>
      <w:lvlJc w:val="left"/>
      <w:pPr>
        <w:ind w:left="4011" w:hanging="249"/>
      </w:pPr>
      <w:rPr>
        <w:rFonts w:hint="default"/>
        <w:lang w:val="es-ES" w:eastAsia="en-US" w:bidi="ar-SA"/>
      </w:rPr>
    </w:lvl>
    <w:lvl w:ilvl="5">
      <w:start w:val="0"/>
      <w:numFmt w:val="bullet"/>
      <w:lvlText w:val="•"/>
      <w:lvlJc w:val="left"/>
      <w:pPr>
        <w:ind w:left="4949" w:hanging="249"/>
      </w:pPr>
      <w:rPr>
        <w:rFonts w:hint="default"/>
        <w:lang w:val="es-ES" w:eastAsia="en-US" w:bidi="ar-SA"/>
      </w:rPr>
    </w:lvl>
    <w:lvl w:ilvl="6">
      <w:start w:val="0"/>
      <w:numFmt w:val="bullet"/>
      <w:lvlText w:val="•"/>
      <w:lvlJc w:val="left"/>
      <w:pPr>
        <w:ind w:left="5887" w:hanging="249"/>
      </w:pPr>
      <w:rPr>
        <w:rFonts w:hint="default"/>
        <w:lang w:val="es-ES" w:eastAsia="en-US" w:bidi="ar-SA"/>
      </w:rPr>
    </w:lvl>
    <w:lvl w:ilvl="7">
      <w:start w:val="0"/>
      <w:numFmt w:val="bullet"/>
      <w:lvlText w:val="•"/>
      <w:lvlJc w:val="left"/>
      <w:pPr>
        <w:ind w:left="6824" w:hanging="249"/>
      </w:pPr>
      <w:rPr>
        <w:rFonts w:hint="default"/>
        <w:lang w:val="es-ES" w:eastAsia="en-US" w:bidi="ar-SA"/>
      </w:rPr>
    </w:lvl>
    <w:lvl w:ilvl="8">
      <w:start w:val="0"/>
      <w:numFmt w:val="bullet"/>
      <w:lvlText w:val="•"/>
      <w:lvlJc w:val="left"/>
      <w:pPr>
        <w:ind w:left="7762" w:hanging="249"/>
      </w:pPr>
      <w:rPr>
        <w:rFonts w:hint="default"/>
        <w:lang w:val="es-ES" w:eastAsia="en-US" w:bidi="ar-SA"/>
      </w:rPr>
    </w:lvl>
  </w:abstractNum>
  <w:abstractNum w:abstractNumId="12">
    <w:multiLevelType w:val="hybridMultilevel"/>
    <w:lvl w:ilvl="0">
      <w:start w:val="1"/>
      <w:numFmt w:val="decimal"/>
      <w:lvlText w:val="%1."/>
      <w:lvlJc w:val="left"/>
      <w:pPr>
        <w:ind w:left="255" w:hanging="244"/>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197" w:hanging="244"/>
      </w:pPr>
      <w:rPr>
        <w:rFonts w:hint="default"/>
        <w:lang w:val="es-ES" w:eastAsia="en-US" w:bidi="ar-SA"/>
      </w:rPr>
    </w:lvl>
    <w:lvl w:ilvl="2">
      <w:start w:val="0"/>
      <w:numFmt w:val="bullet"/>
      <w:lvlText w:val="•"/>
      <w:lvlJc w:val="left"/>
      <w:pPr>
        <w:ind w:left="2135" w:hanging="244"/>
      </w:pPr>
      <w:rPr>
        <w:rFonts w:hint="default"/>
        <w:lang w:val="es-ES" w:eastAsia="en-US" w:bidi="ar-SA"/>
      </w:rPr>
    </w:lvl>
    <w:lvl w:ilvl="3">
      <w:start w:val="0"/>
      <w:numFmt w:val="bullet"/>
      <w:lvlText w:val="•"/>
      <w:lvlJc w:val="left"/>
      <w:pPr>
        <w:ind w:left="3073" w:hanging="244"/>
      </w:pPr>
      <w:rPr>
        <w:rFonts w:hint="default"/>
        <w:lang w:val="es-ES" w:eastAsia="en-US" w:bidi="ar-SA"/>
      </w:rPr>
    </w:lvl>
    <w:lvl w:ilvl="4">
      <w:start w:val="0"/>
      <w:numFmt w:val="bullet"/>
      <w:lvlText w:val="•"/>
      <w:lvlJc w:val="left"/>
      <w:pPr>
        <w:ind w:left="4011" w:hanging="244"/>
      </w:pPr>
      <w:rPr>
        <w:rFonts w:hint="default"/>
        <w:lang w:val="es-ES" w:eastAsia="en-US" w:bidi="ar-SA"/>
      </w:rPr>
    </w:lvl>
    <w:lvl w:ilvl="5">
      <w:start w:val="0"/>
      <w:numFmt w:val="bullet"/>
      <w:lvlText w:val="•"/>
      <w:lvlJc w:val="left"/>
      <w:pPr>
        <w:ind w:left="4949" w:hanging="244"/>
      </w:pPr>
      <w:rPr>
        <w:rFonts w:hint="default"/>
        <w:lang w:val="es-ES" w:eastAsia="en-US" w:bidi="ar-SA"/>
      </w:rPr>
    </w:lvl>
    <w:lvl w:ilvl="6">
      <w:start w:val="0"/>
      <w:numFmt w:val="bullet"/>
      <w:lvlText w:val="•"/>
      <w:lvlJc w:val="left"/>
      <w:pPr>
        <w:ind w:left="5887" w:hanging="244"/>
      </w:pPr>
      <w:rPr>
        <w:rFonts w:hint="default"/>
        <w:lang w:val="es-ES" w:eastAsia="en-US" w:bidi="ar-SA"/>
      </w:rPr>
    </w:lvl>
    <w:lvl w:ilvl="7">
      <w:start w:val="0"/>
      <w:numFmt w:val="bullet"/>
      <w:lvlText w:val="•"/>
      <w:lvlJc w:val="left"/>
      <w:pPr>
        <w:ind w:left="6824" w:hanging="244"/>
      </w:pPr>
      <w:rPr>
        <w:rFonts w:hint="default"/>
        <w:lang w:val="es-ES" w:eastAsia="en-US" w:bidi="ar-SA"/>
      </w:rPr>
    </w:lvl>
    <w:lvl w:ilvl="8">
      <w:start w:val="0"/>
      <w:numFmt w:val="bullet"/>
      <w:lvlText w:val="•"/>
      <w:lvlJc w:val="left"/>
      <w:pPr>
        <w:ind w:left="7762" w:hanging="244"/>
      </w:pPr>
      <w:rPr>
        <w:rFonts w:hint="default"/>
        <w:lang w:val="es-ES" w:eastAsia="en-US" w:bidi="ar-SA"/>
      </w:rPr>
    </w:lvl>
  </w:abstractNum>
  <w:abstractNum w:abstractNumId="11">
    <w:multiLevelType w:val="hybridMultilevel"/>
    <w:lvl w:ilvl="0">
      <w:start w:val="1"/>
      <w:numFmt w:val="decimal"/>
      <w:lvlText w:val="%1."/>
      <w:lvlJc w:val="left"/>
      <w:pPr>
        <w:ind w:left="255" w:hanging="263"/>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197" w:hanging="263"/>
      </w:pPr>
      <w:rPr>
        <w:rFonts w:hint="default"/>
        <w:lang w:val="es-ES" w:eastAsia="en-US" w:bidi="ar-SA"/>
      </w:rPr>
    </w:lvl>
    <w:lvl w:ilvl="2">
      <w:start w:val="0"/>
      <w:numFmt w:val="bullet"/>
      <w:lvlText w:val="•"/>
      <w:lvlJc w:val="left"/>
      <w:pPr>
        <w:ind w:left="2135" w:hanging="263"/>
      </w:pPr>
      <w:rPr>
        <w:rFonts w:hint="default"/>
        <w:lang w:val="es-ES" w:eastAsia="en-US" w:bidi="ar-SA"/>
      </w:rPr>
    </w:lvl>
    <w:lvl w:ilvl="3">
      <w:start w:val="0"/>
      <w:numFmt w:val="bullet"/>
      <w:lvlText w:val="•"/>
      <w:lvlJc w:val="left"/>
      <w:pPr>
        <w:ind w:left="3073" w:hanging="263"/>
      </w:pPr>
      <w:rPr>
        <w:rFonts w:hint="default"/>
        <w:lang w:val="es-ES" w:eastAsia="en-US" w:bidi="ar-SA"/>
      </w:rPr>
    </w:lvl>
    <w:lvl w:ilvl="4">
      <w:start w:val="0"/>
      <w:numFmt w:val="bullet"/>
      <w:lvlText w:val="•"/>
      <w:lvlJc w:val="left"/>
      <w:pPr>
        <w:ind w:left="4011" w:hanging="263"/>
      </w:pPr>
      <w:rPr>
        <w:rFonts w:hint="default"/>
        <w:lang w:val="es-ES" w:eastAsia="en-US" w:bidi="ar-SA"/>
      </w:rPr>
    </w:lvl>
    <w:lvl w:ilvl="5">
      <w:start w:val="0"/>
      <w:numFmt w:val="bullet"/>
      <w:lvlText w:val="•"/>
      <w:lvlJc w:val="left"/>
      <w:pPr>
        <w:ind w:left="4949" w:hanging="263"/>
      </w:pPr>
      <w:rPr>
        <w:rFonts w:hint="default"/>
        <w:lang w:val="es-ES" w:eastAsia="en-US" w:bidi="ar-SA"/>
      </w:rPr>
    </w:lvl>
    <w:lvl w:ilvl="6">
      <w:start w:val="0"/>
      <w:numFmt w:val="bullet"/>
      <w:lvlText w:val="•"/>
      <w:lvlJc w:val="left"/>
      <w:pPr>
        <w:ind w:left="5887" w:hanging="263"/>
      </w:pPr>
      <w:rPr>
        <w:rFonts w:hint="default"/>
        <w:lang w:val="es-ES" w:eastAsia="en-US" w:bidi="ar-SA"/>
      </w:rPr>
    </w:lvl>
    <w:lvl w:ilvl="7">
      <w:start w:val="0"/>
      <w:numFmt w:val="bullet"/>
      <w:lvlText w:val="•"/>
      <w:lvlJc w:val="left"/>
      <w:pPr>
        <w:ind w:left="6824" w:hanging="263"/>
      </w:pPr>
      <w:rPr>
        <w:rFonts w:hint="default"/>
        <w:lang w:val="es-ES" w:eastAsia="en-US" w:bidi="ar-SA"/>
      </w:rPr>
    </w:lvl>
    <w:lvl w:ilvl="8">
      <w:start w:val="0"/>
      <w:numFmt w:val="bullet"/>
      <w:lvlText w:val="•"/>
      <w:lvlJc w:val="left"/>
      <w:pPr>
        <w:ind w:left="7762" w:hanging="263"/>
      </w:pPr>
      <w:rPr>
        <w:rFonts w:hint="default"/>
        <w:lang w:val="es-ES" w:eastAsia="en-US" w:bidi="ar-SA"/>
      </w:rPr>
    </w:lvl>
  </w:abstractNum>
  <w:abstractNum w:abstractNumId="10">
    <w:multiLevelType w:val="hybridMultilevel"/>
    <w:lvl w:ilvl="0">
      <w:start w:val="1"/>
      <w:numFmt w:val="decimal"/>
      <w:lvlText w:val="%1."/>
      <w:lvlJc w:val="left"/>
      <w:pPr>
        <w:ind w:left="255" w:hanging="241"/>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197" w:hanging="241"/>
      </w:pPr>
      <w:rPr>
        <w:rFonts w:hint="default"/>
        <w:lang w:val="es-ES" w:eastAsia="en-US" w:bidi="ar-SA"/>
      </w:rPr>
    </w:lvl>
    <w:lvl w:ilvl="2">
      <w:start w:val="0"/>
      <w:numFmt w:val="bullet"/>
      <w:lvlText w:val="•"/>
      <w:lvlJc w:val="left"/>
      <w:pPr>
        <w:ind w:left="2135" w:hanging="241"/>
      </w:pPr>
      <w:rPr>
        <w:rFonts w:hint="default"/>
        <w:lang w:val="es-ES" w:eastAsia="en-US" w:bidi="ar-SA"/>
      </w:rPr>
    </w:lvl>
    <w:lvl w:ilvl="3">
      <w:start w:val="0"/>
      <w:numFmt w:val="bullet"/>
      <w:lvlText w:val="•"/>
      <w:lvlJc w:val="left"/>
      <w:pPr>
        <w:ind w:left="3073" w:hanging="241"/>
      </w:pPr>
      <w:rPr>
        <w:rFonts w:hint="default"/>
        <w:lang w:val="es-ES" w:eastAsia="en-US" w:bidi="ar-SA"/>
      </w:rPr>
    </w:lvl>
    <w:lvl w:ilvl="4">
      <w:start w:val="0"/>
      <w:numFmt w:val="bullet"/>
      <w:lvlText w:val="•"/>
      <w:lvlJc w:val="left"/>
      <w:pPr>
        <w:ind w:left="4011" w:hanging="241"/>
      </w:pPr>
      <w:rPr>
        <w:rFonts w:hint="default"/>
        <w:lang w:val="es-ES" w:eastAsia="en-US" w:bidi="ar-SA"/>
      </w:rPr>
    </w:lvl>
    <w:lvl w:ilvl="5">
      <w:start w:val="0"/>
      <w:numFmt w:val="bullet"/>
      <w:lvlText w:val="•"/>
      <w:lvlJc w:val="left"/>
      <w:pPr>
        <w:ind w:left="4949" w:hanging="241"/>
      </w:pPr>
      <w:rPr>
        <w:rFonts w:hint="default"/>
        <w:lang w:val="es-ES" w:eastAsia="en-US" w:bidi="ar-SA"/>
      </w:rPr>
    </w:lvl>
    <w:lvl w:ilvl="6">
      <w:start w:val="0"/>
      <w:numFmt w:val="bullet"/>
      <w:lvlText w:val="•"/>
      <w:lvlJc w:val="left"/>
      <w:pPr>
        <w:ind w:left="5887" w:hanging="241"/>
      </w:pPr>
      <w:rPr>
        <w:rFonts w:hint="default"/>
        <w:lang w:val="es-ES" w:eastAsia="en-US" w:bidi="ar-SA"/>
      </w:rPr>
    </w:lvl>
    <w:lvl w:ilvl="7">
      <w:start w:val="0"/>
      <w:numFmt w:val="bullet"/>
      <w:lvlText w:val="•"/>
      <w:lvlJc w:val="left"/>
      <w:pPr>
        <w:ind w:left="6824" w:hanging="241"/>
      </w:pPr>
      <w:rPr>
        <w:rFonts w:hint="default"/>
        <w:lang w:val="es-ES" w:eastAsia="en-US" w:bidi="ar-SA"/>
      </w:rPr>
    </w:lvl>
    <w:lvl w:ilvl="8">
      <w:start w:val="0"/>
      <w:numFmt w:val="bullet"/>
      <w:lvlText w:val="•"/>
      <w:lvlJc w:val="left"/>
      <w:pPr>
        <w:ind w:left="7762" w:hanging="241"/>
      </w:pPr>
      <w:rPr>
        <w:rFonts w:hint="default"/>
        <w:lang w:val="es-ES" w:eastAsia="en-US" w:bidi="ar-SA"/>
      </w:rPr>
    </w:lvl>
  </w:abstractNum>
  <w:abstractNum w:abstractNumId="9">
    <w:multiLevelType w:val="hybridMultilevel"/>
    <w:lvl w:ilvl="0">
      <w:start w:val="1"/>
      <w:numFmt w:val="decimal"/>
      <w:lvlText w:val="%1."/>
      <w:lvlJc w:val="left"/>
      <w:pPr>
        <w:ind w:left="255" w:hanging="27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197" w:hanging="270"/>
      </w:pPr>
      <w:rPr>
        <w:rFonts w:hint="default"/>
        <w:lang w:val="es-ES" w:eastAsia="en-US" w:bidi="ar-SA"/>
      </w:rPr>
    </w:lvl>
    <w:lvl w:ilvl="2">
      <w:start w:val="0"/>
      <w:numFmt w:val="bullet"/>
      <w:lvlText w:val="•"/>
      <w:lvlJc w:val="left"/>
      <w:pPr>
        <w:ind w:left="2135" w:hanging="270"/>
      </w:pPr>
      <w:rPr>
        <w:rFonts w:hint="default"/>
        <w:lang w:val="es-ES" w:eastAsia="en-US" w:bidi="ar-SA"/>
      </w:rPr>
    </w:lvl>
    <w:lvl w:ilvl="3">
      <w:start w:val="0"/>
      <w:numFmt w:val="bullet"/>
      <w:lvlText w:val="•"/>
      <w:lvlJc w:val="left"/>
      <w:pPr>
        <w:ind w:left="3073" w:hanging="270"/>
      </w:pPr>
      <w:rPr>
        <w:rFonts w:hint="default"/>
        <w:lang w:val="es-ES" w:eastAsia="en-US" w:bidi="ar-SA"/>
      </w:rPr>
    </w:lvl>
    <w:lvl w:ilvl="4">
      <w:start w:val="0"/>
      <w:numFmt w:val="bullet"/>
      <w:lvlText w:val="•"/>
      <w:lvlJc w:val="left"/>
      <w:pPr>
        <w:ind w:left="4011" w:hanging="270"/>
      </w:pPr>
      <w:rPr>
        <w:rFonts w:hint="default"/>
        <w:lang w:val="es-ES" w:eastAsia="en-US" w:bidi="ar-SA"/>
      </w:rPr>
    </w:lvl>
    <w:lvl w:ilvl="5">
      <w:start w:val="0"/>
      <w:numFmt w:val="bullet"/>
      <w:lvlText w:val="•"/>
      <w:lvlJc w:val="left"/>
      <w:pPr>
        <w:ind w:left="4949" w:hanging="270"/>
      </w:pPr>
      <w:rPr>
        <w:rFonts w:hint="default"/>
        <w:lang w:val="es-ES" w:eastAsia="en-US" w:bidi="ar-SA"/>
      </w:rPr>
    </w:lvl>
    <w:lvl w:ilvl="6">
      <w:start w:val="0"/>
      <w:numFmt w:val="bullet"/>
      <w:lvlText w:val="•"/>
      <w:lvlJc w:val="left"/>
      <w:pPr>
        <w:ind w:left="5887" w:hanging="270"/>
      </w:pPr>
      <w:rPr>
        <w:rFonts w:hint="default"/>
        <w:lang w:val="es-ES" w:eastAsia="en-US" w:bidi="ar-SA"/>
      </w:rPr>
    </w:lvl>
    <w:lvl w:ilvl="7">
      <w:start w:val="0"/>
      <w:numFmt w:val="bullet"/>
      <w:lvlText w:val="•"/>
      <w:lvlJc w:val="left"/>
      <w:pPr>
        <w:ind w:left="6824" w:hanging="270"/>
      </w:pPr>
      <w:rPr>
        <w:rFonts w:hint="default"/>
        <w:lang w:val="es-ES" w:eastAsia="en-US" w:bidi="ar-SA"/>
      </w:rPr>
    </w:lvl>
    <w:lvl w:ilvl="8">
      <w:start w:val="0"/>
      <w:numFmt w:val="bullet"/>
      <w:lvlText w:val="•"/>
      <w:lvlJc w:val="left"/>
      <w:pPr>
        <w:ind w:left="7762" w:hanging="270"/>
      </w:pPr>
      <w:rPr>
        <w:rFonts w:hint="default"/>
        <w:lang w:val="es-ES" w:eastAsia="en-US" w:bidi="ar-SA"/>
      </w:rPr>
    </w:lvl>
  </w:abstractNum>
  <w:abstractNum w:abstractNumId="8">
    <w:multiLevelType w:val="hybridMultilevel"/>
    <w:lvl w:ilvl="0">
      <w:start w:val="1"/>
      <w:numFmt w:val="decimal"/>
      <w:lvlText w:val="%1."/>
      <w:lvlJc w:val="left"/>
      <w:pPr>
        <w:ind w:left="255" w:hanging="243"/>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828"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9" w:hanging="234"/>
      </w:pPr>
      <w:rPr>
        <w:rFonts w:hint="default"/>
        <w:lang w:val="es-ES" w:eastAsia="en-US" w:bidi="ar-SA"/>
      </w:rPr>
    </w:lvl>
    <w:lvl w:ilvl="3">
      <w:start w:val="0"/>
      <w:numFmt w:val="bullet"/>
      <w:lvlText w:val="•"/>
      <w:lvlJc w:val="left"/>
      <w:pPr>
        <w:ind w:left="2779" w:hanging="234"/>
      </w:pPr>
      <w:rPr>
        <w:rFonts w:hint="default"/>
        <w:lang w:val="es-ES" w:eastAsia="en-US" w:bidi="ar-SA"/>
      </w:rPr>
    </w:lvl>
    <w:lvl w:ilvl="4">
      <w:start w:val="0"/>
      <w:numFmt w:val="bullet"/>
      <w:lvlText w:val="•"/>
      <w:lvlJc w:val="left"/>
      <w:pPr>
        <w:ind w:left="3759" w:hanging="234"/>
      </w:pPr>
      <w:rPr>
        <w:rFonts w:hint="default"/>
        <w:lang w:val="es-ES" w:eastAsia="en-US" w:bidi="ar-SA"/>
      </w:rPr>
    </w:lvl>
    <w:lvl w:ilvl="5">
      <w:start w:val="0"/>
      <w:numFmt w:val="bullet"/>
      <w:lvlText w:val="•"/>
      <w:lvlJc w:val="left"/>
      <w:pPr>
        <w:ind w:left="4739" w:hanging="234"/>
      </w:pPr>
      <w:rPr>
        <w:rFonts w:hint="default"/>
        <w:lang w:val="es-ES" w:eastAsia="en-US" w:bidi="ar-SA"/>
      </w:rPr>
    </w:lvl>
    <w:lvl w:ilvl="6">
      <w:start w:val="0"/>
      <w:numFmt w:val="bullet"/>
      <w:lvlText w:val="•"/>
      <w:lvlJc w:val="left"/>
      <w:pPr>
        <w:ind w:left="5719" w:hanging="234"/>
      </w:pPr>
      <w:rPr>
        <w:rFonts w:hint="default"/>
        <w:lang w:val="es-ES" w:eastAsia="en-US" w:bidi="ar-SA"/>
      </w:rPr>
    </w:lvl>
    <w:lvl w:ilvl="7">
      <w:start w:val="0"/>
      <w:numFmt w:val="bullet"/>
      <w:lvlText w:val="•"/>
      <w:lvlJc w:val="left"/>
      <w:pPr>
        <w:ind w:left="6699" w:hanging="234"/>
      </w:pPr>
      <w:rPr>
        <w:rFonts w:hint="default"/>
        <w:lang w:val="es-ES" w:eastAsia="en-US" w:bidi="ar-SA"/>
      </w:rPr>
    </w:lvl>
    <w:lvl w:ilvl="8">
      <w:start w:val="0"/>
      <w:numFmt w:val="bullet"/>
      <w:lvlText w:val="•"/>
      <w:lvlJc w:val="left"/>
      <w:pPr>
        <w:ind w:left="7678" w:hanging="234"/>
      </w:pPr>
      <w:rPr>
        <w:rFonts w:hint="default"/>
        <w:lang w:val="es-ES" w:eastAsia="en-US" w:bidi="ar-SA"/>
      </w:rPr>
    </w:lvl>
  </w:abstractNum>
  <w:abstractNum w:abstractNumId="7">
    <w:multiLevelType w:val="hybridMultilevel"/>
    <w:lvl w:ilvl="0">
      <w:start w:val="1"/>
      <w:numFmt w:val="decimal"/>
      <w:lvlText w:val="%1."/>
      <w:lvlJc w:val="left"/>
      <w:pPr>
        <w:ind w:left="255" w:hanging="266"/>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828"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9" w:hanging="234"/>
      </w:pPr>
      <w:rPr>
        <w:rFonts w:hint="default"/>
        <w:lang w:val="es-ES" w:eastAsia="en-US" w:bidi="ar-SA"/>
      </w:rPr>
    </w:lvl>
    <w:lvl w:ilvl="3">
      <w:start w:val="0"/>
      <w:numFmt w:val="bullet"/>
      <w:lvlText w:val="•"/>
      <w:lvlJc w:val="left"/>
      <w:pPr>
        <w:ind w:left="2779" w:hanging="234"/>
      </w:pPr>
      <w:rPr>
        <w:rFonts w:hint="default"/>
        <w:lang w:val="es-ES" w:eastAsia="en-US" w:bidi="ar-SA"/>
      </w:rPr>
    </w:lvl>
    <w:lvl w:ilvl="4">
      <w:start w:val="0"/>
      <w:numFmt w:val="bullet"/>
      <w:lvlText w:val="•"/>
      <w:lvlJc w:val="left"/>
      <w:pPr>
        <w:ind w:left="3759" w:hanging="234"/>
      </w:pPr>
      <w:rPr>
        <w:rFonts w:hint="default"/>
        <w:lang w:val="es-ES" w:eastAsia="en-US" w:bidi="ar-SA"/>
      </w:rPr>
    </w:lvl>
    <w:lvl w:ilvl="5">
      <w:start w:val="0"/>
      <w:numFmt w:val="bullet"/>
      <w:lvlText w:val="•"/>
      <w:lvlJc w:val="left"/>
      <w:pPr>
        <w:ind w:left="4739" w:hanging="234"/>
      </w:pPr>
      <w:rPr>
        <w:rFonts w:hint="default"/>
        <w:lang w:val="es-ES" w:eastAsia="en-US" w:bidi="ar-SA"/>
      </w:rPr>
    </w:lvl>
    <w:lvl w:ilvl="6">
      <w:start w:val="0"/>
      <w:numFmt w:val="bullet"/>
      <w:lvlText w:val="•"/>
      <w:lvlJc w:val="left"/>
      <w:pPr>
        <w:ind w:left="5719" w:hanging="234"/>
      </w:pPr>
      <w:rPr>
        <w:rFonts w:hint="default"/>
        <w:lang w:val="es-ES" w:eastAsia="en-US" w:bidi="ar-SA"/>
      </w:rPr>
    </w:lvl>
    <w:lvl w:ilvl="7">
      <w:start w:val="0"/>
      <w:numFmt w:val="bullet"/>
      <w:lvlText w:val="•"/>
      <w:lvlJc w:val="left"/>
      <w:pPr>
        <w:ind w:left="6699" w:hanging="234"/>
      </w:pPr>
      <w:rPr>
        <w:rFonts w:hint="default"/>
        <w:lang w:val="es-ES" w:eastAsia="en-US" w:bidi="ar-SA"/>
      </w:rPr>
    </w:lvl>
    <w:lvl w:ilvl="8">
      <w:start w:val="0"/>
      <w:numFmt w:val="bullet"/>
      <w:lvlText w:val="•"/>
      <w:lvlJc w:val="left"/>
      <w:pPr>
        <w:ind w:left="7678" w:hanging="234"/>
      </w:pPr>
      <w:rPr>
        <w:rFonts w:hint="default"/>
        <w:lang w:val="es-ES" w:eastAsia="en-US" w:bidi="ar-SA"/>
      </w:rPr>
    </w:lvl>
  </w:abstractNum>
  <w:abstractNum w:abstractNumId="6">
    <w:multiLevelType w:val="hybridMultilevel"/>
    <w:lvl w:ilvl="0">
      <w:start w:val="1"/>
      <w:numFmt w:val="decimal"/>
      <w:lvlText w:val="%1."/>
      <w:lvlJc w:val="left"/>
      <w:pPr>
        <w:ind w:left="255" w:hanging="25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55" w:hanging="291"/>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2135" w:hanging="291"/>
      </w:pPr>
      <w:rPr>
        <w:rFonts w:hint="default"/>
        <w:lang w:val="es-ES" w:eastAsia="en-US" w:bidi="ar-SA"/>
      </w:rPr>
    </w:lvl>
    <w:lvl w:ilvl="3">
      <w:start w:val="0"/>
      <w:numFmt w:val="bullet"/>
      <w:lvlText w:val="•"/>
      <w:lvlJc w:val="left"/>
      <w:pPr>
        <w:ind w:left="3073" w:hanging="291"/>
      </w:pPr>
      <w:rPr>
        <w:rFonts w:hint="default"/>
        <w:lang w:val="es-ES" w:eastAsia="en-US" w:bidi="ar-SA"/>
      </w:rPr>
    </w:lvl>
    <w:lvl w:ilvl="4">
      <w:start w:val="0"/>
      <w:numFmt w:val="bullet"/>
      <w:lvlText w:val="•"/>
      <w:lvlJc w:val="left"/>
      <w:pPr>
        <w:ind w:left="4011" w:hanging="291"/>
      </w:pPr>
      <w:rPr>
        <w:rFonts w:hint="default"/>
        <w:lang w:val="es-ES" w:eastAsia="en-US" w:bidi="ar-SA"/>
      </w:rPr>
    </w:lvl>
    <w:lvl w:ilvl="5">
      <w:start w:val="0"/>
      <w:numFmt w:val="bullet"/>
      <w:lvlText w:val="•"/>
      <w:lvlJc w:val="left"/>
      <w:pPr>
        <w:ind w:left="4949" w:hanging="291"/>
      </w:pPr>
      <w:rPr>
        <w:rFonts w:hint="default"/>
        <w:lang w:val="es-ES" w:eastAsia="en-US" w:bidi="ar-SA"/>
      </w:rPr>
    </w:lvl>
    <w:lvl w:ilvl="6">
      <w:start w:val="0"/>
      <w:numFmt w:val="bullet"/>
      <w:lvlText w:val="•"/>
      <w:lvlJc w:val="left"/>
      <w:pPr>
        <w:ind w:left="5887" w:hanging="291"/>
      </w:pPr>
      <w:rPr>
        <w:rFonts w:hint="default"/>
        <w:lang w:val="es-ES" w:eastAsia="en-US" w:bidi="ar-SA"/>
      </w:rPr>
    </w:lvl>
    <w:lvl w:ilvl="7">
      <w:start w:val="0"/>
      <w:numFmt w:val="bullet"/>
      <w:lvlText w:val="•"/>
      <w:lvlJc w:val="left"/>
      <w:pPr>
        <w:ind w:left="6824" w:hanging="291"/>
      </w:pPr>
      <w:rPr>
        <w:rFonts w:hint="default"/>
        <w:lang w:val="es-ES" w:eastAsia="en-US" w:bidi="ar-SA"/>
      </w:rPr>
    </w:lvl>
    <w:lvl w:ilvl="8">
      <w:start w:val="0"/>
      <w:numFmt w:val="bullet"/>
      <w:lvlText w:val="•"/>
      <w:lvlJc w:val="left"/>
      <w:pPr>
        <w:ind w:left="7762" w:hanging="291"/>
      </w:pPr>
      <w:rPr>
        <w:rFonts w:hint="default"/>
        <w:lang w:val="es-ES" w:eastAsia="en-US" w:bidi="ar-SA"/>
      </w:rPr>
    </w:lvl>
  </w:abstractNum>
  <w:abstractNum w:abstractNumId="5">
    <w:multiLevelType w:val="hybridMultilevel"/>
    <w:lvl w:ilvl="0">
      <w:start w:val="1"/>
      <w:numFmt w:val="decimal"/>
      <w:lvlText w:val="%1."/>
      <w:lvlJc w:val="left"/>
      <w:pPr>
        <w:ind w:left="255" w:hanging="308"/>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197" w:hanging="308"/>
      </w:pPr>
      <w:rPr>
        <w:rFonts w:hint="default"/>
        <w:lang w:val="es-ES" w:eastAsia="en-US" w:bidi="ar-SA"/>
      </w:rPr>
    </w:lvl>
    <w:lvl w:ilvl="2">
      <w:start w:val="0"/>
      <w:numFmt w:val="bullet"/>
      <w:lvlText w:val="•"/>
      <w:lvlJc w:val="left"/>
      <w:pPr>
        <w:ind w:left="2135" w:hanging="308"/>
      </w:pPr>
      <w:rPr>
        <w:rFonts w:hint="default"/>
        <w:lang w:val="es-ES" w:eastAsia="en-US" w:bidi="ar-SA"/>
      </w:rPr>
    </w:lvl>
    <w:lvl w:ilvl="3">
      <w:start w:val="0"/>
      <w:numFmt w:val="bullet"/>
      <w:lvlText w:val="•"/>
      <w:lvlJc w:val="left"/>
      <w:pPr>
        <w:ind w:left="3073" w:hanging="308"/>
      </w:pPr>
      <w:rPr>
        <w:rFonts w:hint="default"/>
        <w:lang w:val="es-ES" w:eastAsia="en-US" w:bidi="ar-SA"/>
      </w:rPr>
    </w:lvl>
    <w:lvl w:ilvl="4">
      <w:start w:val="0"/>
      <w:numFmt w:val="bullet"/>
      <w:lvlText w:val="•"/>
      <w:lvlJc w:val="left"/>
      <w:pPr>
        <w:ind w:left="4011" w:hanging="308"/>
      </w:pPr>
      <w:rPr>
        <w:rFonts w:hint="default"/>
        <w:lang w:val="es-ES" w:eastAsia="en-US" w:bidi="ar-SA"/>
      </w:rPr>
    </w:lvl>
    <w:lvl w:ilvl="5">
      <w:start w:val="0"/>
      <w:numFmt w:val="bullet"/>
      <w:lvlText w:val="•"/>
      <w:lvlJc w:val="left"/>
      <w:pPr>
        <w:ind w:left="4949" w:hanging="308"/>
      </w:pPr>
      <w:rPr>
        <w:rFonts w:hint="default"/>
        <w:lang w:val="es-ES" w:eastAsia="en-US" w:bidi="ar-SA"/>
      </w:rPr>
    </w:lvl>
    <w:lvl w:ilvl="6">
      <w:start w:val="0"/>
      <w:numFmt w:val="bullet"/>
      <w:lvlText w:val="•"/>
      <w:lvlJc w:val="left"/>
      <w:pPr>
        <w:ind w:left="5887" w:hanging="308"/>
      </w:pPr>
      <w:rPr>
        <w:rFonts w:hint="default"/>
        <w:lang w:val="es-ES" w:eastAsia="en-US" w:bidi="ar-SA"/>
      </w:rPr>
    </w:lvl>
    <w:lvl w:ilvl="7">
      <w:start w:val="0"/>
      <w:numFmt w:val="bullet"/>
      <w:lvlText w:val="•"/>
      <w:lvlJc w:val="left"/>
      <w:pPr>
        <w:ind w:left="6824" w:hanging="308"/>
      </w:pPr>
      <w:rPr>
        <w:rFonts w:hint="default"/>
        <w:lang w:val="es-ES" w:eastAsia="en-US" w:bidi="ar-SA"/>
      </w:rPr>
    </w:lvl>
    <w:lvl w:ilvl="8">
      <w:start w:val="0"/>
      <w:numFmt w:val="bullet"/>
      <w:lvlText w:val="•"/>
      <w:lvlJc w:val="left"/>
      <w:pPr>
        <w:ind w:left="7762" w:hanging="308"/>
      </w:pPr>
      <w:rPr>
        <w:rFonts w:hint="default"/>
        <w:lang w:val="es-ES" w:eastAsia="en-US" w:bidi="ar-SA"/>
      </w:rPr>
    </w:lvl>
  </w:abstractNum>
  <w:abstractNum w:abstractNumId="4">
    <w:multiLevelType w:val="hybridMultilevel"/>
    <w:lvl w:ilvl="0">
      <w:start w:val="1"/>
      <w:numFmt w:val="decimal"/>
      <w:lvlText w:val="%1."/>
      <w:lvlJc w:val="left"/>
      <w:pPr>
        <w:ind w:left="255" w:hanging="27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828"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9" w:hanging="234"/>
      </w:pPr>
      <w:rPr>
        <w:rFonts w:hint="default"/>
        <w:lang w:val="es-ES" w:eastAsia="en-US" w:bidi="ar-SA"/>
      </w:rPr>
    </w:lvl>
    <w:lvl w:ilvl="3">
      <w:start w:val="0"/>
      <w:numFmt w:val="bullet"/>
      <w:lvlText w:val="•"/>
      <w:lvlJc w:val="left"/>
      <w:pPr>
        <w:ind w:left="2779" w:hanging="234"/>
      </w:pPr>
      <w:rPr>
        <w:rFonts w:hint="default"/>
        <w:lang w:val="es-ES" w:eastAsia="en-US" w:bidi="ar-SA"/>
      </w:rPr>
    </w:lvl>
    <w:lvl w:ilvl="4">
      <w:start w:val="0"/>
      <w:numFmt w:val="bullet"/>
      <w:lvlText w:val="•"/>
      <w:lvlJc w:val="left"/>
      <w:pPr>
        <w:ind w:left="3759" w:hanging="234"/>
      </w:pPr>
      <w:rPr>
        <w:rFonts w:hint="default"/>
        <w:lang w:val="es-ES" w:eastAsia="en-US" w:bidi="ar-SA"/>
      </w:rPr>
    </w:lvl>
    <w:lvl w:ilvl="5">
      <w:start w:val="0"/>
      <w:numFmt w:val="bullet"/>
      <w:lvlText w:val="•"/>
      <w:lvlJc w:val="left"/>
      <w:pPr>
        <w:ind w:left="4739" w:hanging="234"/>
      </w:pPr>
      <w:rPr>
        <w:rFonts w:hint="default"/>
        <w:lang w:val="es-ES" w:eastAsia="en-US" w:bidi="ar-SA"/>
      </w:rPr>
    </w:lvl>
    <w:lvl w:ilvl="6">
      <w:start w:val="0"/>
      <w:numFmt w:val="bullet"/>
      <w:lvlText w:val="•"/>
      <w:lvlJc w:val="left"/>
      <w:pPr>
        <w:ind w:left="5719" w:hanging="234"/>
      </w:pPr>
      <w:rPr>
        <w:rFonts w:hint="default"/>
        <w:lang w:val="es-ES" w:eastAsia="en-US" w:bidi="ar-SA"/>
      </w:rPr>
    </w:lvl>
    <w:lvl w:ilvl="7">
      <w:start w:val="0"/>
      <w:numFmt w:val="bullet"/>
      <w:lvlText w:val="•"/>
      <w:lvlJc w:val="left"/>
      <w:pPr>
        <w:ind w:left="6699" w:hanging="234"/>
      </w:pPr>
      <w:rPr>
        <w:rFonts w:hint="default"/>
        <w:lang w:val="es-ES" w:eastAsia="en-US" w:bidi="ar-SA"/>
      </w:rPr>
    </w:lvl>
    <w:lvl w:ilvl="8">
      <w:start w:val="0"/>
      <w:numFmt w:val="bullet"/>
      <w:lvlText w:val="•"/>
      <w:lvlJc w:val="left"/>
      <w:pPr>
        <w:ind w:left="7678" w:hanging="234"/>
      </w:pPr>
      <w:rPr>
        <w:rFonts w:hint="default"/>
        <w:lang w:val="es-ES" w:eastAsia="en-US" w:bidi="ar-SA"/>
      </w:rPr>
    </w:lvl>
  </w:abstractNum>
  <w:abstractNum w:abstractNumId="3">
    <w:multiLevelType w:val="hybridMultilevel"/>
    <w:lvl w:ilvl="0">
      <w:start w:val="1"/>
      <w:numFmt w:val="decimal"/>
      <w:lvlText w:val="%1."/>
      <w:lvlJc w:val="left"/>
      <w:pPr>
        <w:ind w:left="255" w:hanging="168"/>
        <w:jc w:val="left"/>
      </w:pPr>
      <w:rPr>
        <w:rFonts w:hint="default" w:ascii="Arial" w:hAnsi="Arial" w:eastAsia="Arial" w:cs="Arial"/>
        <w:b w:val="0"/>
        <w:bCs w:val="0"/>
        <w:i w:val="0"/>
        <w:iCs w:val="0"/>
        <w:spacing w:val="0"/>
        <w:w w:val="97"/>
        <w:sz w:val="18"/>
        <w:szCs w:val="18"/>
        <w:lang w:val="es-ES" w:eastAsia="en-US" w:bidi="ar-SA"/>
      </w:rPr>
    </w:lvl>
    <w:lvl w:ilvl="1">
      <w:start w:val="1"/>
      <w:numFmt w:val="lowerLetter"/>
      <w:lvlText w:val="%2)"/>
      <w:lvlJc w:val="left"/>
      <w:pPr>
        <w:ind w:left="828"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9" w:hanging="234"/>
      </w:pPr>
      <w:rPr>
        <w:rFonts w:hint="default"/>
        <w:lang w:val="es-ES" w:eastAsia="en-US" w:bidi="ar-SA"/>
      </w:rPr>
    </w:lvl>
    <w:lvl w:ilvl="3">
      <w:start w:val="0"/>
      <w:numFmt w:val="bullet"/>
      <w:lvlText w:val="•"/>
      <w:lvlJc w:val="left"/>
      <w:pPr>
        <w:ind w:left="2779" w:hanging="234"/>
      </w:pPr>
      <w:rPr>
        <w:rFonts w:hint="default"/>
        <w:lang w:val="es-ES" w:eastAsia="en-US" w:bidi="ar-SA"/>
      </w:rPr>
    </w:lvl>
    <w:lvl w:ilvl="4">
      <w:start w:val="0"/>
      <w:numFmt w:val="bullet"/>
      <w:lvlText w:val="•"/>
      <w:lvlJc w:val="left"/>
      <w:pPr>
        <w:ind w:left="3759" w:hanging="234"/>
      </w:pPr>
      <w:rPr>
        <w:rFonts w:hint="default"/>
        <w:lang w:val="es-ES" w:eastAsia="en-US" w:bidi="ar-SA"/>
      </w:rPr>
    </w:lvl>
    <w:lvl w:ilvl="5">
      <w:start w:val="0"/>
      <w:numFmt w:val="bullet"/>
      <w:lvlText w:val="•"/>
      <w:lvlJc w:val="left"/>
      <w:pPr>
        <w:ind w:left="4739" w:hanging="234"/>
      </w:pPr>
      <w:rPr>
        <w:rFonts w:hint="default"/>
        <w:lang w:val="es-ES" w:eastAsia="en-US" w:bidi="ar-SA"/>
      </w:rPr>
    </w:lvl>
    <w:lvl w:ilvl="6">
      <w:start w:val="0"/>
      <w:numFmt w:val="bullet"/>
      <w:lvlText w:val="•"/>
      <w:lvlJc w:val="left"/>
      <w:pPr>
        <w:ind w:left="5719" w:hanging="234"/>
      </w:pPr>
      <w:rPr>
        <w:rFonts w:hint="default"/>
        <w:lang w:val="es-ES" w:eastAsia="en-US" w:bidi="ar-SA"/>
      </w:rPr>
    </w:lvl>
    <w:lvl w:ilvl="7">
      <w:start w:val="0"/>
      <w:numFmt w:val="bullet"/>
      <w:lvlText w:val="•"/>
      <w:lvlJc w:val="left"/>
      <w:pPr>
        <w:ind w:left="6699" w:hanging="234"/>
      </w:pPr>
      <w:rPr>
        <w:rFonts w:hint="default"/>
        <w:lang w:val="es-ES" w:eastAsia="en-US" w:bidi="ar-SA"/>
      </w:rPr>
    </w:lvl>
    <w:lvl w:ilvl="8">
      <w:start w:val="0"/>
      <w:numFmt w:val="bullet"/>
      <w:lvlText w:val="•"/>
      <w:lvlJc w:val="left"/>
      <w:pPr>
        <w:ind w:left="7678" w:hanging="234"/>
      </w:pPr>
      <w:rPr>
        <w:rFonts w:hint="default"/>
        <w:lang w:val="es-ES" w:eastAsia="en-US" w:bidi="ar-SA"/>
      </w:rPr>
    </w:lvl>
  </w:abstractNum>
  <w:abstractNum w:abstractNumId="2">
    <w:multiLevelType w:val="hybridMultilevel"/>
    <w:lvl w:ilvl="0">
      <w:start w:val="1"/>
      <w:numFmt w:val="decimal"/>
      <w:lvlText w:val="%1."/>
      <w:lvlJc w:val="left"/>
      <w:pPr>
        <w:ind w:left="763" w:hanging="168"/>
        <w:jc w:val="left"/>
      </w:pPr>
      <w:rPr>
        <w:rFonts w:hint="default" w:ascii="Arial" w:hAnsi="Arial" w:eastAsia="Arial" w:cs="Arial"/>
        <w:b w:val="0"/>
        <w:bCs w:val="0"/>
        <w:i w:val="0"/>
        <w:iCs w:val="0"/>
        <w:spacing w:val="-1"/>
        <w:w w:val="97"/>
        <w:sz w:val="18"/>
        <w:szCs w:val="18"/>
        <w:lang w:val="es-ES" w:eastAsia="en-US" w:bidi="ar-SA"/>
      </w:rPr>
    </w:lvl>
    <w:lvl w:ilvl="1">
      <w:start w:val="1"/>
      <w:numFmt w:val="lowerLetter"/>
      <w:lvlText w:val="%2)"/>
      <w:lvlJc w:val="left"/>
      <w:pPr>
        <w:ind w:left="255" w:hanging="289"/>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46" w:hanging="289"/>
      </w:pPr>
      <w:rPr>
        <w:rFonts w:hint="default"/>
        <w:lang w:val="es-ES" w:eastAsia="en-US" w:bidi="ar-SA"/>
      </w:rPr>
    </w:lvl>
    <w:lvl w:ilvl="3">
      <w:start w:val="0"/>
      <w:numFmt w:val="bullet"/>
      <w:lvlText w:val="•"/>
      <w:lvlJc w:val="left"/>
      <w:pPr>
        <w:ind w:left="2733" w:hanging="289"/>
      </w:pPr>
      <w:rPr>
        <w:rFonts w:hint="default"/>
        <w:lang w:val="es-ES" w:eastAsia="en-US" w:bidi="ar-SA"/>
      </w:rPr>
    </w:lvl>
    <w:lvl w:ilvl="4">
      <w:start w:val="0"/>
      <w:numFmt w:val="bullet"/>
      <w:lvlText w:val="•"/>
      <w:lvlJc w:val="left"/>
      <w:pPr>
        <w:ind w:left="3719" w:hanging="289"/>
      </w:pPr>
      <w:rPr>
        <w:rFonts w:hint="default"/>
        <w:lang w:val="es-ES" w:eastAsia="en-US" w:bidi="ar-SA"/>
      </w:rPr>
    </w:lvl>
    <w:lvl w:ilvl="5">
      <w:start w:val="0"/>
      <w:numFmt w:val="bullet"/>
      <w:lvlText w:val="•"/>
      <w:lvlJc w:val="left"/>
      <w:pPr>
        <w:ind w:left="4706" w:hanging="289"/>
      </w:pPr>
      <w:rPr>
        <w:rFonts w:hint="default"/>
        <w:lang w:val="es-ES" w:eastAsia="en-US" w:bidi="ar-SA"/>
      </w:rPr>
    </w:lvl>
    <w:lvl w:ilvl="6">
      <w:start w:val="0"/>
      <w:numFmt w:val="bullet"/>
      <w:lvlText w:val="•"/>
      <w:lvlJc w:val="left"/>
      <w:pPr>
        <w:ind w:left="5692" w:hanging="289"/>
      </w:pPr>
      <w:rPr>
        <w:rFonts w:hint="default"/>
        <w:lang w:val="es-ES" w:eastAsia="en-US" w:bidi="ar-SA"/>
      </w:rPr>
    </w:lvl>
    <w:lvl w:ilvl="7">
      <w:start w:val="0"/>
      <w:numFmt w:val="bullet"/>
      <w:lvlText w:val="•"/>
      <w:lvlJc w:val="left"/>
      <w:pPr>
        <w:ind w:left="6679" w:hanging="289"/>
      </w:pPr>
      <w:rPr>
        <w:rFonts w:hint="default"/>
        <w:lang w:val="es-ES" w:eastAsia="en-US" w:bidi="ar-SA"/>
      </w:rPr>
    </w:lvl>
    <w:lvl w:ilvl="8">
      <w:start w:val="0"/>
      <w:numFmt w:val="bullet"/>
      <w:lvlText w:val="•"/>
      <w:lvlJc w:val="left"/>
      <w:pPr>
        <w:ind w:left="7665" w:hanging="289"/>
      </w:pPr>
      <w:rPr>
        <w:rFonts w:hint="default"/>
        <w:lang w:val="es-ES" w:eastAsia="en-US" w:bidi="ar-SA"/>
      </w:rPr>
    </w:lvl>
  </w:abstractNum>
  <w:abstractNum w:abstractNumId="1">
    <w:multiLevelType w:val="hybridMultilevel"/>
    <w:lvl w:ilvl="0">
      <w:start w:val="1"/>
      <w:numFmt w:val="decimal"/>
      <w:lvlText w:val="%1."/>
      <w:lvlJc w:val="left"/>
      <w:pPr>
        <w:ind w:left="255" w:hanging="168"/>
        <w:jc w:val="left"/>
      </w:pPr>
      <w:rPr>
        <w:rFonts w:hint="default" w:ascii="Arial" w:hAnsi="Arial" w:eastAsia="Arial" w:cs="Arial"/>
        <w:b w:val="0"/>
        <w:bCs w:val="0"/>
        <w:i w:val="0"/>
        <w:iCs w:val="0"/>
        <w:spacing w:val="0"/>
        <w:w w:val="97"/>
        <w:sz w:val="18"/>
        <w:szCs w:val="18"/>
        <w:lang w:val="es-ES" w:eastAsia="en-US" w:bidi="ar-SA"/>
      </w:rPr>
    </w:lvl>
    <w:lvl w:ilvl="1">
      <w:start w:val="1"/>
      <w:numFmt w:val="lowerLetter"/>
      <w:lvlText w:val="%2)"/>
      <w:lvlJc w:val="left"/>
      <w:pPr>
        <w:ind w:left="828"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9" w:hanging="234"/>
      </w:pPr>
      <w:rPr>
        <w:rFonts w:hint="default"/>
        <w:lang w:val="es-ES" w:eastAsia="en-US" w:bidi="ar-SA"/>
      </w:rPr>
    </w:lvl>
    <w:lvl w:ilvl="3">
      <w:start w:val="0"/>
      <w:numFmt w:val="bullet"/>
      <w:lvlText w:val="•"/>
      <w:lvlJc w:val="left"/>
      <w:pPr>
        <w:ind w:left="2779" w:hanging="234"/>
      </w:pPr>
      <w:rPr>
        <w:rFonts w:hint="default"/>
        <w:lang w:val="es-ES" w:eastAsia="en-US" w:bidi="ar-SA"/>
      </w:rPr>
    </w:lvl>
    <w:lvl w:ilvl="4">
      <w:start w:val="0"/>
      <w:numFmt w:val="bullet"/>
      <w:lvlText w:val="•"/>
      <w:lvlJc w:val="left"/>
      <w:pPr>
        <w:ind w:left="3759" w:hanging="234"/>
      </w:pPr>
      <w:rPr>
        <w:rFonts w:hint="default"/>
        <w:lang w:val="es-ES" w:eastAsia="en-US" w:bidi="ar-SA"/>
      </w:rPr>
    </w:lvl>
    <w:lvl w:ilvl="5">
      <w:start w:val="0"/>
      <w:numFmt w:val="bullet"/>
      <w:lvlText w:val="•"/>
      <w:lvlJc w:val="left"/>
      <w:pPr>
        <w:ind w:left="4739" w:hanging="234"/>
      </w:pPr>
      <w:rPr>
        <w:rFonts w:hint="default"/>
        <w:lang w:val="es-ES" w:eastAsia="en-US" w:bidi="ar-SA"/>
      </w:rPr>
    </w:lvl>
    <w:lvl w:ilvl="6">
      <w:start w:val="0"/>
      <w:numFmt w:val="bullet"/>
      <w:lvlText w:val="•"/>
      <w:lvlJc w:val="left"/>
      <w:pPr>
        <w:ind w:left="5719" w:hanging="234"/>
      </w:pPr>
      <w:rPr>
        <w:rFonts w:hint="default"/>
        <w:lang w:val="es-ES" w:eastAsia="en-US" w:bidi="ar-SA"/>
      </w:rPr>
    </w:lvl>
    <w:lvl w:ilvl="7">
      <w:start w:val="0"/>
      <w:numFmt w:val="bullet"/>
      <w:lvlText w:val="•"/>
      <w:lvlJc w:val="left"/>
      <w:pPr>
        <w:ind w:left="6699" w:hanging="234"/>
      </w:pPr>
      <w:rPr>
        <w:rFonts w:hint="default"/>
        <w:lang w:val="es-ES" w:eastAsia="en-US" w:bidi="ar-SA"/>
      </w:rPr>
    </w:lvl>
    <w:lvl w:ilvl="8">
      <w:start w:val="0"/>
      <w:numFmt w:val="bullet"/>
      <w:lvlText w:val="•"/>
      <w:lvlJc w:val="left"/>
      <w:pPr>
        <w:ind w:left="7678" w:hanging="234"/>
      </w:pPr>
      <w:rPr>
        <w:rFonts w:hint="default"/>
        <w:lang w:val="es-ES" w:eastAsia="en-US" w:bidi="ar-SA"/>
      </w:rPr>
    </w:lvl>
  </w:abstractNum>
  <w:abstractNum w:abstractNumId="0">
    <w:multiLevelType w:val="hybridMultilevel"/>
    <w:lvl w:ilvl="0">
      <w:start w:val="1"/>
      <w:numFmt w:val="decimal"/>
      <w:lvlText w:val="%1."/>
      <w:lvlJc w:val="left"/>
      <w:pPr>
        <w:ind w:left="255" w:hanging="231"/>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828" w:hanging="23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1799" w:hanging="234"/>
      </w:pPr>
      <w:rPr>
        <w:rFonts w:hint="default"/>
        <w:lang w:val="es-ES" w:eastAsia="en-US" w:bidi="ar-SA"/>
      </w:rPr>
    </w:lvl>
    <w:lvl w:ilvl="3">
      <w:start w:val="0"/>
      <w:numFmt w:val="bullet"/>
      <w:lvlText w:val="•"/>
      <w:lvlJc w:val="left"/>
      <w:pPr>
        <w:ind w:left="2779" w:hanging="234"/>
      </w:pPr>
      <w:rPr>
        <w:rFonts w:hint="default"/>
        <w:lang w:val="es-ES" w:eastAsia="en-US" w:bidi="ar-SA"/>
      </w:rPr>
    </w:lvl>
    <w:lvl w:ilvl="4">
      <w:start w:val="0"/>
      <w:numFmt w:val="bullet"/>
      <w:lvlText w:val="•"/>
      <w:lvlJc w:val="left"/>
      <w:pPr>
        <w:ind w:left="3759" w:hanging="234"/>
      </w:pPr>
      <w:rPr>
        <w:rFonts w:hint="default"/>
        <w:lang w:val="es-ES" w:eastAsia="en-US" w:bidi="ar-SA"/>
      </w:rPr>
    </w:lvl>
    <w:lvl w:ilvl="5">
      <w:start w:val="0"/>
      <w:numFmt w:val="bullet"/>
      <w:lvlText w:val="•"/>
      <w:lvlJc w:val="left"/>
      <w:pPr>
        <w:ind w:left="4739" w:hanging="234"/>
      </w:pPr>
      <w:rPr>
        <w:rFonts w:hint="default"/>
        <w:lang w:val="es-ES" w:eastAsia="en-US" w:bidi="ar-SA"/>
      </w:rPr>
    </w:lvl>
    <w:lvl w:ilvl="6">
      <w:start w:val="0"/>
      <w:numFmt w:val="bullet"/>
      <w:lvlText w:val="•"/>
      <w:lvlJc w:val="left"/>
      <w:pPr>
        <w:ind w:left="5719" w:hanging="234"/>
      </w:pPr>
      <w:rPr>
        <w:rFonts w:hint="default"/>
        <w:lang w:val="es-ES" w:eastAsia="en-US" w:bidi="ar-SA"/>
      </w:rPr>
    </w:lvl>
    <w:lvl w:ilvl="7">
      <w:start w:val="0"/>
      <w:numFmt w:val="bullet"/>
      <w:lvlText w:val="•"/>
      <w:lvlJc w:val="left"/>
      <w:pPr>
        <w:ind w:left="6699" w:hanging="234"/>
      </w:pPr>
      <w:rPr>
        <w:rFonts w:hint="default"/>
        <w:lang w:val="es-ES" w:eastAsia="en-US" w:bidi="ar-SA"/>
      </w:rPr>
    </w:lvl>
    <w:lvl w:ilvl="8">
      <w:start w:val="0"/>
      <w:numFmt w:val="bullet"/>
      <w:lvlText w:val="•"/>
      <w:lvlJc w:val="left"/>
      <w:pPr>
        <w:ind w:left="7678" w:hanging="234"/>
      </w:pPr>
      <w:rPr>
        <w:rFonts w:hint="default"/>
        <w:lang w:val="es-ES" w:eastAsia="en-US" w:bidi="ar-SA"/>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spacing w:before="2"/>
      <w:ind w:left="255" w:firstLine="340"/>
      <w:jc w:val="both"/>
    </w:pPr>
    <w:rPr>
      <w:rFonts w:ascii="Arial" w:hAnsi="Arial" w:eastAsia="Arial" w:cs="Arial"/>
      <w:sz w:val="20"/>
      <w:szCs w:val="20"/>
      <w:lang w:val="es-ES" w:eastAsia="en-US" w:bidi="ar-SA"/>
    </w:rPr>
  </w:style>
  <w:style w:styleId="Heading1" w:type="paragraph">
    <w:name w:val="Heading 1"/>
    <w:basedOn w:val="Normal"/>
    <w:uiPriority w:val="1"/>
    <w:qFormat/>
    <w:pPr>
      <w:ind w:left="1" w:right="849"/>
      <w:jc w:val="center"/>
      <w:outlineLvl w:val="1"/>
    </w:pPr>
    <w:rPr>
      <w:rFonts w:ascii="Arial" w:hAnsi="Arial" w:eastAsia="Arial" w:cs="Arial"/>
      <w:sz w:val="28"/>
      <w:szCs w:val="28"/>
      <w:lang w:val="es-ES" w:eastAsia="en-US" w:bidi="ar-SA"/>
    </w:rPr>
  </w:style>
  <w:style w:styleId="Heading2" w:type="paragraph">
    <w:name w:val="Heading 2"/>
    <w:basedOn w:val="Normal"/>
    <w:uiPriority w:val="1"/>
    <w:qFormat/>
    <w:pPr>
      <w:spacing w:before="123"/>
      <w:ind w:left="1863" w:right="2712"/>
      <w:jc w:val="center"/>
      <w:outlineLvl w:val="2"/>
    </w:pPr>
    <w:rPr>
      <w:rFonts w:ascii="Arial" w:hAnsi="Arial" w:eastAsia="Arial" w:cs="Arial"/>
      <w:b/>
      <w:bCs/>
      <w:sz w:val="20"/>
      <w:szCs w:val="20"/>
      <w:lang w:val="es-ES" w:eastAsia="en-US" w:bidi="ar-SA"/>
    </w:rPr>
  </w:style>
  <w:style w:styleId="Title" w:type="paragraph">
    <w:name w:val="Title"/>
    <w:basedOn w:val="Normal"/>
    <w:uiPriority w:val="1"/>
    <w:qFormat/>
    <w:pPr>
      <w:ind w:left="2355"/>
    </w:pPr>
    <w:rPr>
      <w:rFonts w:ascii="Arial" w:hAnsi="Arial" w:eastAsia="Arial" w:cs="Arial"/>
      <w:b/>
      <w:bCs/>
      <w:sz w:val="28"/>
      <w:szCs w:val="28"/>
      <w:lang w:val="es-ES" w:eastAsia="en-US" w:bidi="ar-SA"/>
    </w:rPr>
  </w:style>
  <w:style w:styleId="ListParagraph" w:type="paragraph">
    <w:name w:val="List Paragraph"/>
    <w:basedOn w:val="Normal"/>
    <w:uiPriority w:val="1"/>
    <w:qFormat/>
    <w:pPr>
      <w:spacing w:before="2"/>
      <w:ind w:left="255" w:right="1103" w:firstLine="340"/>
      <w:jc w:val="both"/>
    </w:pPr>
    <w:rPr>
      <w:rFonts w:ascii="Arial" w:hAnsi="Arial" w:eastAsia="Arial" w:cs="Arial"/>
      <w:lang w:val="es-ES" w:eastAsia="en-US" w:bidi="ar-SA"/>
    </w:rPr>
  </w:style>
  <w:style w:styleId="TableParagraph" w:type="paragraph">
    <w:name w:val="Table Paragraph"/>
    <w:basedOn w:val="Normal"/>
    <w:uiPriority w:val="1"/>
    <w:qFormat/>
    <w:pPr>
      <w:spacing w:before="118"/>
      <w:jc w:val="righ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Agencia Estatal Boletín Oficial del Estado</dc:creator>
  <cp:keywords>BOE-A-2002-25039; BOE; Legislación consolidada; Agencia Estatal Boletín Oficial del Estado</cp:keywords>
  <dc:subject>BOE-A-2002-25039 actualizado a 20 de diciembre de 2023</dc:subject>
  <dc:title>Ley 49/2002, de 23 de diciembre, de régimen fiscal de las entidades sin fines lucrativos y de los incentivos fiscales al mecenazgo.</dc:title>
  <dcterms:created xsi:type="dcterms:W3CDTF">2026-10-14T11:44:24Z</dcterms:created>
  <dcterms:modified xsi:type="dcterms:W3CDTF">2026-10-14T11:44:24Z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2023-12-21T00:00:00Z</vt:filetime>
  </property>
  <property fmtid="{D5CDD505-2E9C-101B-9397-08002B2CF9AE}" pid="4" name="Creator">
    <vt:lpwstr>AH XSL Formatter V6.6 MR7 for Linux64 : 6.6.9.39847 (2019-07-29T09:58+09)</vt:lpwstr>
  </property>
  <property fmtid="{D5CDD505-2E9C-101B-9397-08002B2CF9AE}" pid="5" name="LastSaved">
    <vt:filetime>2026-10-14T00:00:00Z</vt:filetime>
  </property>
  <property fmtid="{D5CDD505-2E9C-101B-9397-08002B2CF9AE}" pid="6" name="Producer">
    <vt:lpwstr>Antenna House PDF Output Library 6.6.1477 (Linux64)</vt:lpwstr>
  </property>
</Properties>
</file>